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3742" w14:textId="2069962C" w:rsidR="00BE162C" w:rsidRPr="001768E4" w:rsidRDefault="00BE162C" w:rsidP="001768E4">
      <w:pPr>
        <w:pStyle w:val="Default"/>
        <w:jc w:val="center"/>
        <w:rPr>
          <w:rFonts w:asciiTheme="minorHAnsi" w:hAnsiTheme="minorHAnsi" w:cstheme="minorHAnsi"/>
          <w:b/>
          <w:color w:val="FF0000"/>
          <w:sz w:val="22"/>
          <w:szCs w:val="22"/>
        </w:rPr>
      </w:pPr>
      <w:r w:rsidRPr="001768E4">
        <w:rPr>
          <w:rFonts w:asciiTheme="minorHAnsi" w:hAnsiTheme="minorHAnsi" w:cstheme="minorHAnsi"/>
          <w:b/>
          <w:color w:val="FF0000"/>
          <w:sz w:val="22"/>
          <w:szCs w:val="22"/>
        </w:rPr>
        <w:t>***DRAFT</w:t>
      </w:r>
      <w:r w:rsidR="001768E4">
        <w:rPr>
          <w:rFonts w:asciiTheme="minorHAnsi" w:hAnsiTheme="minorHAnsi" w:cstheme="minorHAnsi"/>
          <w:b/>
          <w:color w:val="FF0000"/>
          <w:sz w:val="22"/>
          <w:szCs w:val="22"/>
        </w:rPr>
        <w:t xml:space="preserve"> FOR REVIEW</w:t>
      </w:r>
      <w:r w:rsidRPr="001768E4">
        <w:rPr>
          <w:rFonts w:asciiTheme="minorHAnsi" w:hAnsiTheme="minorHAnsi" w:cstheme="minorHAnsi"/>
          <w:b/>
          <w:color w:val="FF0000"/>
          <w:sz w:val="22"/>
          <w:szCs w:val="22"/>
        </w:rPr>
        <w:t>***</w:t>
      </w:r>
    </w:p>
    <w:p w14:paraId="5EC0BA8F" w14:textId="6A8017D4" w:rsidR="00BE162C" w:rsidRPr="001768E4" w:rsidRDefault="00BE162C" w:rsidP="001768E4">
      <w:pPr>
        <w:pStyle w:val="Default"/>
        <w:jc w:val="center"/>
        <w:rPr>
          <w:rFonts w:asciiTheme="minorHAnsi" w:hAnsiTheme="minorHAnsi" w:cstheme="minorHAnsi"/>
          <w:b/>
          <w:color w:val="FF0000"/>
          <w:sz w:val="22"/>
          <w:szCs w:val="22"/>
        </w:rPr>
      </w:pPr>
      <w:r w:rsidRPr="001768E4">
        <w:rPr>
          <w:rFonts w:asciiTheme="minorHAnsi" w:hAnsiTheme="minorHAnsi" w:cstheme="minorHAnsi"/>
          <w:b/>
          <w:color w:val="FF0000"/>
          <w:sz w:val="22"/>
          <w:szCs w:val="22"/>
        </w:rPr>
        <w:t>***SUBJECT TO CHANGE***</w:t>
      </w:r>
    </w:p>
    <w:p w14:paraId="379FA7A0" w14:textId="77777777" w:rsidR="00BE162C" w:rsidRDefault="00BE162C" w:rsidP="005345CD">
      <w:pPr>
        <w:pStyle w:val="Default"/>
        <w:rPr>
          <w:rFonts w:asciiTheme="minorHAnsi" w:hAnsiTheme="minorHAnsi" w:cstheme="minorHAnsi"/>
          <w:sz w:val="22"/>
          <w:szCs w:val="22"/>
        </w:rPr>
      </w:pPr>
    </w:p>
    <w:p w14:paraId="7EE0B6A5" w14:textId="03240BA4" w:rsidR="00902FEA" w:rsidRPr="008572EB" w:rsidRDefault="007E7D95" w:rsidP="005345CD">
      <w:pPr>
        <w:pStyle w:val="Default"/>
        <w:rPr>
          <w:rFonts w:asciiTheme="minorHAnsi" w:hAnsiTheme="minorHAnsi" w:cstheme="minorHAnsi"/>
          <w:sz w:val="22"/>
          <w:szCs w:val="22"/>
        </w:rPr>
      </w:pPr>
      <w:r>
        <w:rPr>
          <w:rFonts w:asciiTheme="minorHAnsi" w:hAnsiTheme="minorHAnsi" w:cstheme="minorHAnsi"/>
          <w:sz w:val="22"/>
          <w:szCs w:val="22"/>
        </w:rPr>
        <w:t>June</w:t>
      </w:r>
      <w:r w:rsidR="008572EB">
        <w:rPr>
          <w:rFonts w:asciiTheme="minorHAnsi" w:hAnsiTheme="minorHAnsi" w:cstheme="minorHAnsi"/>
          <w:sz w:val="22"/>
          <w:szCs w:val="22"/>
        </w:rPr>
        <w:t xml:space="preserve"> </w:t>
      </w:r>
      <w:r w:rsidR="000C5B13">
        <w:rPr>
          <w:rFonts w:asciiTheme="minorHAnsi" w:hAnsiTheme="minorHAnsi" w:cstheme="minorHAnsi"/>
          <w:sz w:val="22"/>
          <w:szCs w:val="22"/>
        </w:rPr>
        <w:t>17</w:t>
      </w:r>
      <w:r w:rsidR="008572EB">
        <w:rPr>
          <w:rFonts w:asciiTheme="minorHAnsi" w:hAnsiTheme="minorHAnsi" w:cstheme="minorHAnsi"/>
          <w:sz w:val="22"/>
          <w:szCs w:val="22"/>
        </w:rPr>
        <w:t>, 2019</w:t>
      </w:r>
    </w:p>
    <w:p w14:paraId="0DCBDB4B" w14:textId="77777777" w:rsidR="00902FEA" w:rsidRPr="008572EB" w:rsidRDefault="00902FEA" w:rsidP="005345CD">
      <w:pPr>
        <w:autoSpaceDE w:val="0"/>
        <w:autoSpaceDN w:val="0"/>
        <w:adjustRightInd w:val="0"/>
        <w:rPr>
          <w:rFonts w:ascii="Calibri" w:eastAsia="Calibri" w:hAnsi="Calibri" w:cs="Calibri"/>
          <w:color w:val="000000"/>
          <w:sz w:val="22"/>
          <w:szCs w:val="22"/>
        </w:rPr>
      </w:pPr>
    </w:p>
    <w:p w14:paraId="2AC93484" w14:textId="753B3A4A" w:rsidR="008572EB" w:rsidRDefault="008572EB" w:rsidP="005345CD">
      <w:pPr>
        <w:autoSpaceDE w:val="0"/>
        <w:autoSpaceDN w:val="0"/>
        <w:adjustRightInd w:val="0"/>
        <w:rPr>
          <w:rFonts w:ascii="Calibri" w:eastAsia="Calibri" w:hAnsi="Calibri" w:cs="Calibri"/>
          <w:color w:val="000000"/>
          <w:sz w:val="22"/>
          <w:szCs w:val="22"/>
        </w:rPr>
      </w:pPr>
    </w:p>
    <w:p w14:paraId="7C38141A" w14:textId="77777777" w:rsidR="00CB1D79" w:rsidRDefault="00CB1D79" w:rsidP="005345CD">
      <w:pPr>
        <w:autoSpaceDE w:val="0"/>
        <w:autoSpaceDN w:val="0"/>
        <w:adjustRightInd w:val="0"/>
        <w:rPr>
          <w:rFonts w:ascii="Calibri" w:eastAsia="Calibri" w:hAnsi="Calibri" w:cs="Calibri"/>
          <w:color w:val="000000"/>
          <w:sz w:val="22"/>
          <w:szCs w:val="22"/>
        </w:rPr>
        <w:sectPr w:rsidR="00CB1D79" w:rsidSect="002334E2">
          <w:headerReference w:type="even" r:id="rId12"/>
          <w:headerReference w:type="default" r:id="rId13"/>
          <w:headerReference w:type="first" r:id="rId14"/>
          <w:footerReference w:type="first" r:id="rId15"/>
          <w:pgSz w:w="12240" w:h="15840" w:code="1"/>
          <w:pgMar w:top="1440" w:right="1440" w:bottom="1440" w:left="1440" w:header="720" w:footer="432" w:gutter="0"/>
          <w:cols w:space="720"/>
          <w:titlePg/>
          <w:docGrid w:linePitch="326"/>
        </w:sectPr>
      </w:pPr>
    </w:p>
    <w:p w14:paraId="4229CB22" w14:textId="77777777" w:rsidR="007B5885" w:rsidRPr="007B5885" w:rsidRDefault="007B5885" w:rsidP="007B5885">
      <w:pPr>
        <w:autoSpaceDE w:val="0"/>
        <w:autoSpaceDN w:val="0"/>
        <w:adjustRightInd w:val="0"/>
        <w:rPr>
          <w:rFonts w:ascii="Calibri" w:eastAsia="Calibri" w:hAnsi="Calibri" w:cs="Calibri"/>
          <w:color w:val="000000"/>
          <w:sz w:val="22"/>
          <w:szCs w:val="22"/>
        </w:rPr>
      </w:pPr>
      <w:r w:rsidRPr="007B5885">
        <w:rPr>
          <w:rFonts w:ascii="Calibri" w:eastAsia="Calibri" w:hAnsi="Calibri" w:cs="Calibri"/>
          <w:color w:val="000000"/>
          <w:sz w:val="22"/>
          <w:szCs w:val="22"/>
        </w:rPr>
        <w:t xml:space="preserve">Seema Verma </w:t>
      </w:r>
    </w:p>
    <w:p w14:paraId="5862A307" w14:textId="77777777" w:rsidR="007B5885" w:rsidRPr="007B5885" w:rsidRDefault="007B5885" w:rsidP="007B5885">
      <w:pPr>
        <w:autoSpaceDE w:val="0"/>
        <w:autoSpaceDN w:val="0"/>
        <w:adjustRightInd w:val="0"/>
        <w:rPr>
          <w:rFonts w:ascii="Calibri" w:eastAsia="Calibri" w:hAnsi="Calibri" w:cs="Calibri"/>
          <w:color w:val="000000"/>
          <w:sz w:val="22"/>
          <w:szCs w:val="22"/>
        </w:rPr>
      </w:pPr>
      <w:r w:rsidRPr="007B5885">
        <w:rPr>
          <w:rFonts w:ascii="Calibri" w:eastAsia="Calibri" w:hAnsi="Calibri" w:cs="Calibri"/>
          <w:color w:val="000000"/>
          <w:sz w:val="22"/>
          <w:szCs w:val="22"/>
        </w:rPr>
        <w:t xml:space="preserve">Administrator </w:t>
      </w:r>
    </w:p>
    <w:p w14:paraId="5B152EEA" w14:textId="77777777" w:rsidR="007B5885" w:rsidRPr="007B5885" w:rsidRDefault="007B5885" w:rsidP="007B5885">
      <w:pPr>
        <w:autoSpaceDE w:val="0"/>
        <w:autoSpaceDN w:val="0"/>
        <w:adjustRightInd w:val="0"/>
        <w:rPr>
          <w:rFonts w:ascii="Calibri" w:eastAsia="Calibri" w:hAnsi="Calibri" w:cs="Calibri"/>
          <w:color w:val="000000"/>
          <w:sz w:val="22"/>
          <w:szCs w:val="22"/>
        </w:rPr>
      </w:pPr>
      <w:r w:rsidRPr="007B5885">
        <w:rPr>
          <w:rFonts w:ascii="Calibri" w:eastAsia="Calibri" w:hAnsi="Calibri" w:cs="Calibri"/>
          <w:color w:val="000000"/>
          <w:sz w:val="22"/>
          <w:szCs w:val="22"/>
        </w:rPr>
        <w:t xml:space="preserve">Centers for Medicare &amp; Medicaid Services </w:t>
      </w:r>
    </w:p>
    <w:p w14:paraId="56B5AC03" w14:textId="77777777" w:rsidR="007B5885" w:rsidRPr="007B5885" w:rsidRDefault="007B5885" w:rsidP="007B5885">
      <w:pPr>
        <w:autoSpaceDE w:val="0"/>
        <w:autoSpaceDN w:val="0"/>
        <w:adjustRightInd w:val="0"/>
        <w:rPr>
          <w:rFonts w:ascii="Calibri" w:eastAsia="Calibri" w:hAnsi="Calibri" w:cs="Calibri"/>
          <w:color w:val="000000"/>
          <w:sz w:val="22"/>
          <w:szCs w:val="22"/>
        </w:rPr>
      </w:pPr>
      <w:r w:rsidRPr="007B5885">
        <w:rPr>
          <w:rFonts w:ascii="Calibri" w:eastAsia="Calibri" w:hAnsi="Calibri" w:cs="Calibri"/>
          <w:color w:val="000000"/>
          <w:sz w:val="22"/>
          <w:szCs w:val="22"/>
        </w:rPr>
        <w:t>Department of Health &amp; Human Services</w:t>
      </w:r>
    </w:p>
    <w:p w14:paraId="1294C33D" w14:textId="15A70AD5" w:rsidR="007B5885" w:rsidRPr="007B5885" w:rsidRDefault="007B5885" w:rsidP="007B5885">
      <w:pPr>
        <w:autoSpaceDE w:val="0"/>
        <w:autoSpaceDN w:val="0"/>
        <w:adjustRightInd w:val="0"/>
        <w:rPr>
          <w:rFonts w:ascii="Calibri" w:eastAsia="Calibri" w:hAnsi="Calibri" w:cs="Calibri"/>
          <w:color w:val="000000"/>
          <w:sz w:val="22"/>
          <w:szCs w:val="22"/>
        </w:rPr>
      </w:pPr>
      <w:r w:rsidRPr="007B5885">
        <w:rPr>
          <w:rFonts w:ascii="Calibri" w:eastAsia="Calibri" w:hAnsi="Calibri" w:cs="Calibri"/>
          <w:color w:val="000000"/>
          <w:sz w:val="22"/>
          <w:szCs w:val="22"/>
        </w:rPr>
        <w:t xml:space="preserve">200 Independence Avenue, SW </w:t>
      </w:r>
    </w:p>
    <w:p w14:paraId="56E7C64E" w14:textId="7012ADF5" w:rsidR="002073C0" w:rsidRDefault="007B5885" w:rsidP="007B5885">
      <w:pPr>
        <w:autoSpaceDE w:val="0"/>
        <w:autoSpaceDN w:val="0"/>
        <w:adjustRightInd w:val="0"/>
        <w:rPr>
          <w:rFonts w:ascii="Calibri" w:eastAsia="Calibri" w:hAnsi="Calibri" w:cs="Calibri"/>
          <w:color w:val="000000"/>
          <w:sz w:val="22"/>
          <w:szCs w:val="22"/>
        </w:rPr>
      </w:pPr>
      <w:r w:rsidRPr="007B5885">
        <w:rPr>
          <w:rFonts w:ascii="Calibri" w:eastAsia="Calibri" w:hAnsi="Calibri" w:cs="Calibri"/>
          <w:color w:val="000000"/>
          <w:sz w:val="22"/>
          <w:szCs w:val="22"/>
        </w:rPr>
        <w:t>Washington, DC 20201</w:t>
      </w:r>
    </w:p>
    <w:p w14:paraId="7108DC72" w14:textId="77777777" w:rsidR="002073C0" w:rsidRPr="00902FEA" w:rsidRDefault="002073C0" w:rsidP="005345CD">
      <w:pPr>
        <w:autoSpaceDE w:val="0"/>
        <w:autoSpaceDN w:val="0"/>
        <w:adjustRightInd w:val="0"/>
        <w:rPr>
          <w:rFonts w:ascii="Calibri" w:eastAsia="Calibri" w:hAnsi="Calibri" w:cs="Calibri"/>
          <w:color w:val="000000"/>
          <w:sz w:val="22"/>
          <w:szCs w:val="22"/>
        </w:rPr>
      </w:pPr>
    </w:p>
    <w:p w14:paraId="39F99492" w14:textId="77777777" w:rsidR="008572EB" w:rsidRDefault="008572EB" w:rsidP="005345CD">
      <w:pPr>
        <w:rPr>
          <w:rFonts w:ascii="Calibri" w:eastAsia="Calibri" w:hAnsi="Calibri" w:cs="Calibri"/>
          <w:sz w:val="22"/>
          <w:szCs w:val="22"/>
        </w:rPr>
        <w:sectPr w:rsidR="008572EB" w:rsidSect="007B5885">
          <w:type w:val="continuous"/>
          <w:pgSz w:w="12240" w:h="15840" w:code="1"/>
          <w:pgMar w:top="1440" w:right="1440" w:bottom="1440" w:left="1440" w:header="720" w:footer="432" w:gutter="0"/>
          <w:cols w:space="720"/>
          <w:titlePg/>
          <w:docGrid w:linePitch="326"/>
        </w:sectPr>
      </w:pPr>
    </w:p>
    <w:p w14:paraId="199013F1" w14:textId="138D01EC" w:rsidR="004A411C" w:rsidRPr="004A411C" w:rsidRDefault="004A411C" w:rsidP="005345CD">
      <w:pPr>
        <w:rPr>
          <w:rFonts w:ascii="Calibri" w:eastAsia="Calibri" w:hAnsi="Calibri" w:cs="Calibri"/>
          <w:b/>
          <w:i/>
          <w:sz w:val="22"/>
          <w:szCs w:val="22"/>
        </w:rPr>
      </w:pPr>
      <w:r w:rsidRPr="00D86ECB">
        <w:rPr>
          <w:rFonts w:ascii="Calibri" w:eastAsia="Calibri" w:hAnsi="Calibri" w:cs="Calibri"/>
          <w:b/>
          <w:i/>
          <w:sz w:val="22"/>
          <w:szCs w:val="22"/>
        </w:rPr>
        <w:t>Subje</w:t>
      </w:r>
      <w:r w:rsidR="00D86ECB" w:rsidRPr="00D86ECB">
        <w:rPr>
          <w:rFonts w:ascii="Calibri" w:eastAsia="Calibri" w:hAnsi="Calibri" w:cs="Calibri"/>
          <w:b/>
          <w:i/>
          <w:sz w:val="22"/>
          <w:szCs w:val="22"/>
        </w:rPr>
        <w:t xml:space="preserve">ct: </w:t>
      </w:r>
      <w:r w:rsidR="00DF300B">
        <w:rPr>
          <w:rFonts w:ascii="Calibri" w:eastAsia="Calibri" w:hAnsi="Calibri" w:cs="Calibri"/>
          <w:b/>
          <w:i/>
          <w:sz w:val="22"/>
          <w:szCs w:val="22"/>
        </w:rPr>
        <w:t>DRAFT-QSO-19-12-Hospitals -</w:t>
      </w:r>
      <w:r w:rsidR="00D86ECB" w:rsidRPr="00D86ECB">
        <w:rPr>
          <w:rFonts w:ascii="Calibri" w:eastAsia="Calibri" w:hAnsi="Calibri" w:cs="Calibri"/>
          <w:b/>
          <w:i/>
          <w:sz w:val="22"/>
          <w:szCs w:val="22"/>
        </w:rPr>
        <w:t xml:space="preserve"> Clarification of Ligature Risk Interpretive Guidelines </w:t>
      </w:r>
    </w:p>
    <w:p w14:paraId="56ED421D" w14:textId="77777777" w:rsidR="004A411C" w:rsidRDefault="004A411C" w:rsidP="005345CD">
      <w:pPr>
        <w:rPr>
          <w:rFonts w:ascii="Calibri" w:eastAsia="Calibri" w:hAnsi="Calibri" w:cs="Calibri"/>
          <w:sz w:val="22"/>
          <w:szCs w:val="22"/>
        </w:rPr>
      </w:pPr>
    </w:p>
    <w:p w14:paraId="0FC04883" w14:textId="66A7B531" w:rsidR="00902FEA" w:rsidRPr="002073C0" w:rsidRDefault="00902FEA" w:rsidP="002073C0">
      <w:pPr>
        <w:autoSpaceDE w:val="0"/>
        <w:autoSpaceDN w:val="0"/>
        <w:adjustRightInd w:val="0"/>
        <w:rPr>
          <w:rFonts w:ascii="Calibri" w:eastAsia="Calibri" w:hAnsi="Calibri" w:cs="Calibri"/>
          <w:color w:val="000000"/>
          <w:sz w:val="22"/>
          <w:szCs w:val="22"/>
        </w:rPr>
      </w:pPr>
      <w:r w:rsidRPr="00902FEA">
        <w:rPr>
          <w:rFonts w:ascii="Calibri" w:eastAsia="Calibri" w:hAnsi="Calibri" w:cs="Calibri"/>
          <w:sz w:val="22"/>
          <w:szCs w:val="22"/>
        </w:rPr>
        <w:t xml:space="preserve">Dear </w:t>
      </w:r>
      <w:r w:rsidR="00936C05">
        <w:rPr>
          <w:rFonts w:ascii="Calibri" w:eastAsia="Calibri" w:hAnsi="Calibri" w:cs="Calibri"/>
          <w:color w:val="000000"/>
          <w:sz w:val="22"/>
          <w:szCs w:val="22"/>
        </w:rPr>
        <w:t>Administrator</w:t>
      </w:r>
      <w:r w:rsidR="007B5885">
        <w:rPr>
          <w:rFonts w:ascii="Calibri" w:eastAsia="Calibri" w:hAnsi="Calibri" w:cs="Calibri"/>
          <w:color w:val="000000"/>
          <w:sz w:val="22"/>
          <w:szCs w:val="22"/>
        </w:rPr>
        <w:t xml:space="preserve"> Verma</w:t>
      </w:r>
      <w:r w:rsidR="00452D4F">
        <w:rPr>
          <w:rFonts w:ascii="Calibri" w:eastAsia="Calibri" w:hAnsi="Calibri" w:cs="Calibri"/>
          <w:color w:val="000000"/>
          <w:sz w:val="22"/>
          <w:szCs w:val="22"/>
        </w:rPr>
        <w:t>:</w:t>
      </w:r>
    </w:p>
    <w:p w14:paraId="5EAA77BE" w14:textId="77777777" w:rsidR="00902FEA" w:rsidRPr="00902FEA" w:rsidRDefault="00902FEA" w:rsidP="005345CD">
      <w:pPr>
        <w:rPr>
          <w:rFonts w:ascii="Calibri" w:eastAsia="Calibri" w:hAnsi="Calibri" w:cs="Calibri"/>
          <w:sz w:val="22"/>
          <w:szCs w:val="22"/>
        </w:rPr>
      </w:pPr>
    </w:p>
    <w:p w14:paraId="172DEDFD" w14:textId="4ADF00BA" w:rsidR="00902FEA" w:rsidRDefault="004A411C" w:rsidP="005345CD">
      <w:pPr>
        <w:rPr>
          <w:rFonts w:ascii="Calibri" w:eastAsia="Calibri" w:hAnsi="Calibri" w:cs="Calibri"/>
          <w:sz w:val="22"/>
          <w:szCs w:val="22"/>
        </w:rPr>
      </w:pPr>
      <w:r w:rsidRPr="004A411C">
        <w:rPr>
          <w:rFonts w:ascii="Calibri" w:eastAsia="Calibri" w:hAnsi="Calibri" w:cs="Calibri"/>
          <w:sz w:val="22"/>
          <w:szCs w:val="22"/>
        </w:rPr>
        <w:t>On behalf of our more than 400 member hospitals and health systems, the California Hospital Association (CHA) appreciates the opportunity to comment</w:t>
      </w:r>
      <w:r>
        <w:rPr>
          <w:rFonts w:ascii="Calibri" w:eastAsia="Calibri" w:hAnsi="Calibri" w:cs="Calibri"/>
          <w:sz w:val="22"/>
          <w:szCs w:val="22"/>
        </w:rPr>
        <w:t xml:space="preserve"> o</w:t>
      </w:r>
      <w:r w:rsidR="00D86ECB">
        <w:rPr>
          <w:rFonts w:ascii="Calibri" w:eastAsia="Calibri" w:hAnsi="Calibri" w:cs="Calibri"/>
          <w:sz w:val="22"/>
          <w:szCs w:val="22"/>
        </w:rPr>
        <w:t>n the Center</w:t>
      </w:r>
      <w:r w:rsidR="00454326">
        <w:rPr>
          <w:rFonts w:ascii="Calibri" w:eastAsia="Calibri" w:hAnsi="Calibri" w:cs="Calibri"/>
          <w:sz w:val="22"/>
          <w:szCs w:val="22"/>
        </w:rPr>
        <w:t>s</w:t>
      </w:r>
      <w:r w:rsidR="00D86ECB">
        <w:rPr>
          <w:rFonts w:ascii="Calibri" w:eastAsia="Calibri" w:hAnsi="Calibri" w:cs="Calibri"/>
          <w:sz w:val="22"/>
          <w:szCs w:val="22"/>
        </w:rPr>
        <w:t xml:space="preserve"> for Medicare </w:t>
      </w:r>
      <w:r w:rsidR="00936C05">
        <w:rPr>
          <w:rFonts w:ascii="Calibri" w:eastAsia="Calibri" w:hAnsi="Calibri" w:cs="Calibri"/>
          <w:sz w:val="22"/>
          <w:szCs w:val="22"/>
        </w:rPr>
        <w:t>&amp;</w:t>
      </w:r>
      <w:r w:rsidR="00D86ECB">
        <w:rPr>
          <w:rFonts w:ascii="Calibri" w:eastAsia="Calibri" w:hAnsi="Calibri" w:cs="Calibri"/>
          <w:sz w:val="22"/>
          <w:szCs w:val="22"/>
        </w:rPr>
        <w:t xml:space="preserve"> Medicaid Services (CMS) draft policy memorandum to update </w:t>
      </w:r>
      <w:r w:rsidR="00D56028">
        <w:rPr>
          <w:rFonts w:ascii="Calibri" w:eastAsia="Calibri" w:hAnsi="Calibri" w:cs="Calibri"/>
          <w:sz w:val="22"/>
          <w:szCs w:val="22"/>
        </w:rPr>
        <w:t xml:space="preserve">the CMS State Operations Manual (SOM) Appendix A for Hospitals and SOM Chapter 2, Section 2728G, both related to ligature risk. </w:t>
      </w:r>
    </w:p>
    <w:p w14:paraId="153F27ED" w14:textId="44A418F1" w:rsidR="004A411C" w:rsidRDefault="004A411C" w:rsidP="005345CD">
      <w:pPr>
        <w:rPr>
          <w:rFonts w:ascii="Calibri" w:eastAsia="Calibri" w:hAnsi="Calibri" w:cs="Calibri"/>
          <w:sz w:val="22"/>
          <w:szCs w:val="22"/>
        </w:rPr>
      </w:pPr>
    </w:p>
    <w:p w14:paraId="183ED72E" w14:textId="25C4AB80" w:rsidR="00BE32AC" w:rsidRPr="000C5B13" w:rsidRDefault="003266B1" w:rsidP="005345CD">
      <w:pPr>
        <w:rPr>
          <w:rFonts w:ascii="Calibri" w:eastAsia="Calibri" w:hAnsi="Calibri" w:cs="Calibri"/>
          <w:b/>
          <w:bCs/>
          <w:sz w:val="22"/>
          <w:szCs w:val="22"/>
        </w:rPr>
      </w:pPr>
      <w:r w:rsidRPr="00F879E7">
        <w:rPr>
          <w:rFonts w:ascii="Calibri" w:eastAsia="Calibri" w:hAnsi="Calibri" w:cs="Calibri"/>
          <w:sz w:val="22"/>
          <w:szCs w:val="22"/>
        </w:rPr>
        <w:t>CHA shares</w:t>
      </w:r>
      <w:r w:rsidR="00D56028">
        <w:rPr>
          <w:rFonts w:ascii="Calibri" w:eastAsia="Calibri" w:hAnsi="Calibri" w:cs="Calibri"/>
          <w:sz w:val="22"/>
          <w:szCs w:val="22"/>
        </w:rPr>
        <w:t xml:space="preserve"> CMS</w:t>
      </w:r>
      <w:r w:rsidR="00936C05">
        <w:rPr>
          <w:rFonts w:ascii="Calibri" w:eastAsia="Calibri" w:hAnsi="Calibri" w:cs="Calibri"/>
          <w:sz w:val="22"/>
          <w:szCs w:val="22"/>
        </w:rPr>
        <w:t>’</w:t>
      </w:r>
      <w:r w:rsidR="00D56028">
        <w:rPr>
          <w:rFonts w:ascii="Calibri" w:eastAsia="Calibri" w:hAnsi="Calibri" w:cs="Calibri"/>
          <w:sz w:val="22"/>
          <w:szCs w:val="22"/>
        </w:rPr>
        <w:t xml:space="preserve"> goals of improving care and safety </w:t>
      </w:r>
      <w:r w:rsidR="00936C05">
        <w:rPr>
          <w:rFonts w:ascii="Calibri" w:eastAsia="Calibri" w:hAnsi="Calibri" w:cs="Calibri"/>
          <w:sz w:val="22"/>
          <w:szCs w:val="22"/>
        </w:rPr>
        <w:t>for</w:t>
      </w:r>
      <w:r w:rsidR="00D56028">
        <w:rPr>
          <w:rFonts w:ascii="Calibri" w:eastAsia="Calibri" w:hAnsi="Calibri" w:cs="Calibri"/>
          <w:sz w:val="22"/>
          <w:szCs w:val="22"/>
        </w:rPr>
        <w:t xml:space="preserve"> </w:t>
      </w:r>
      <w:r w:rsidR="00BE32AC">
        <w:rPr>
          <w:rFonts w:ascii="Calibri" w:eastAsia="Calibri" w:hAnsi="Calibri" w:cs="Calibri"/>
          <w:sz w:val="22"/>
          <w:szCs w:val="22"/>
        </w:rPr>
        <w:t xml:space="preserve">all patients, especially our most vulnerable </w:t>
      </w:r>
      <w:r w:rsidR="00D56028">
        <w:rPr>
          <w:rFonts w:ascii="Calibri" w:eastAsia="Calibri" w:hAnsi="Calibri" w:cs="Calibri"/>
          <w:sz w:val="22"/>
          <w:szCs w:val="22"/>
        </w:rPr>
        <w:t xml:space="preserve">psychiatric patients </w:t>
      </w:r>
      <w:r w:rsidR="00936C05">
        <w:rPr>
          <w:rFonts w:ascii="Calibri" w:eastAsia="Calibri" w:hAnsi="Calibri" w:cs="Calibri"/>
          <w:sz w:val="22"/>
          <w:szCs w:val="22"/>
        </w:rPr>
        <w:t xml:space="preserve">who are </w:t>
      </w:r>
      <w:r w:rsidR="00D56028">
        <w:rPr>
          <w:rFonts w:ascii="Calibri" w:eastAsia="Calibri" w:hAnsi="Calibri" w:cs="Calibri"/>
          <w:sz w:val="22"/>
          <w:szCs w:val="22"/>
        </w:rPr>
        <w:t>at risk of harm</w:t>
      </w:r>
      <w:r w:rsidR="00936C05">
        <w:rPr>
          <w:rFonts w:ascii="Calibri" w:eastAsia="Calibri" w:hAnsi="Calibri" w:cs="Calibri"/>
          <w:sz w:val="22"/>
          <w:szCs w:val="22"/>
        </w:rPr>
        <w:t>ing</w:t>
      </w:r>
      <w:r w:rsidR="00D56028">
        <w:rPr>
          <w:rFonts w:ascii="Calibri" w:eastAsia="Calibri" w:hAnsi="Calibri" w:cs="Calibri"/>
          <w:sz w:val="22"/>
          <w:szCs w:val="22"/>
        </w:rPr>
        <w:t xml:space="preserve"> themselves or others</w:t>
      </w:r>
      <w:r w:rsidR="00936C05">
        <w:rPr>
          <w:rFonts w:ascii="Calibri" w:eastAsia="Calibri" w:hAnsi="Calibri" w:cs="Calibri"/>
          <w:sz w:val="22"/>
          <w:szCs w:val="22"/>
        </w:rPr>
        <w:t>.</w:t>
      </w:r>
      <w:r w:rsidR="00D56028">
        <w:rPr>
          <w:rFonts w:ascii="Calibri" w:eastAsia="Calibri" w:hAnsi="Calibri" w:cs="Calibri"/>
          <w:sz w:val="22"/>
          <w:szCs w:val="22"/>
        </w:rPr>
        <w:t xml:space="preserve"> </w:t>
      </w:r>
      <w:r w:rsidR="00936C05">
        <w:rPr>
          <w:rFonts w:ascii="Calibri" w:eastAsia="Calibri" w:hAnsi="Calibri" w:cs="Calibri"/>
          <w:sz w:val="22"/>
          <w:szCs w:val="22"/>
        </w:rPr>
        <w:t>Inherent in that goal is</w:t>
      </w:r>
      <w:r w:rsidR="00D56028">
        <w:rPr>
          <w:rFonts w:ascii="Calibri" w:eastAsia="Calibri" w:hAnsi="Calibri" w:cs="Calibri"/>
          <w:sz w:val="22"/>
          <w:szCs w:val="22"/>
        </w:rPr>
        <w:t xml:space="preserve"> </w:t>
      </w:r>
      <w:r w:rsidR="007D1F27">
        <w:rPr>
          <w:rFonts w:ascii="Calibri" w:eastAsia="Calibri" w:hAnsi="Calibri" w:cs="Calibri"/>
          <w:sz w:val="22"/>
          <w:szCs w:val="22"/>
        </w:rPr>
        <w:t xml:space="preserve">ensuring </w:t>
      </w:r>
      <w:r w:rsidR="00D56028">
        <w:rPr>
          <w:rFonts w:ascii="Calibri" w:eastAsia="Calibri" w:hAnsi="Calibri" w:cs="Calibri"/>
          <w:sz w:val="22"/>
          <w:szCs w:val="22"/>
        </w:rPr>
        <w:t xml:space="preserve">the safety of those </w:t>
      </w:r>
      <w:r w:rsidR="00936C05">
        <w:rPr>
          <w:rFonts w:ascii="Calibri" w:eastAsia="Calibri" w:hAnsi="Calibri" w:cs="Calibri"/>
          <w:sz w:val="22"/>
          <w:szCs w:val="22"/>
        </w:rPr>
        <w:t xml:space="preserve">who provide </w:t>
      </w:r>
      <w:r w:rsidR="00D56028">
        <w:rPr>
          <w:rFonts w:ascii="Calibri" w:eastAsia="Calibri" w:hAnsi="Calibri" w:cs="Calibri"/>
          <w:sz w:val="22"/>
          <w:szCs w:val="22"/>
        </w:rPr>
        <w:t xml:space="preserve">care to these individuals. </w:t>
      </w:r>
      <w:r w:rsidR="00FC1ECF">
        <w:rPr>
          <w:rFonts w:ascii="Calibri" w:eastAsia="Calibri" w:hAnsi="Calibri" w:cs="Calibri"/>
          <w:b/>
          <w:bCs/>
          <w:sz w:val="22"/>
          <w:szCs w:val="22"/>
        </w:rPr>
        <w:t>We</w:t>
      </w:r>
      <w:r w:rsidR="00FC1ECF" w:rsidRPr="000C5B13">
        <w:rPr>
          <w:rFonts w:ascii="Calibri" w:eastAsia="Calibri" w:hAnsi="Calibri" w:cs="Calibri"/>
          <w:b/>
          <w:bCs/>
          <w:sz w:val="22"/>
          <w:szCs w:val="22"/>
        </w:rPr>
        <w:t xml:space="preserve"> </w:t>
      </w:r>
      <w:r w:rsidR="00BE32AC" w:rsidRPr="000C5B13">
        <w:rPr>
          <w:rFonts w:ascii="Calibri" w:eastAsia="Calibri" w:hAnsi="Calibri" w:cs="Calibri"/>
          <w:b/>
          <w:bCs/>
          <w:sz w:val="22"/>
          <w:szCs w:val="22"/>
        </w:rPr>
        <w:t xml:space="preserve">applaud </w:t>
      </w:r>
      <w:r w:rsidR="004C1464" w:rsidRPr="000C5B13">
        <w:rPr>
          <w:rFonts w:ascii="Calibri" w:eastAsia="Calibri" w:hAnsi="Calibri" w:cs="Calibri"/>
          <w:b/>
          <w:bCs/>
          <w:sz w:val="22"/>
          <w:szCs w:val="22"/>
        </w:rPr>
        <w:t>CMS for</w:t>
      </w:r>
      <w:r w:rsidR="00BE32AC" w:rsidRPr="000C5B13">
        <w:rPr>
          <w:rFonts w:ascii="Calibri" w:eastAsia="Calibri" w:hAnsi="Calibri" w:cs="Calibri"/>
          <w:b/>
          <w:bCs/>
          <w:sz w:val="22"/>
          <w:szCs w:val="22"/>
        </w:rPr>
        <w:t xml:space="preserve"> revising </w:t>
      </w:r>
      <w:r w:rsidR="007D1F27">
        <w:rPr>
          <w:rFonts w:ascii="Calibri" w:eastAsia="Calibri" w:hAnsi="Calibri" w:cs="Calibri"/>
          <w:b/>
          <w:bCs/>
          <w:sz w:val="22"/>
          <w:szCs w:val="22"/>
        </w:rPr>
        <w:t>Survey &amp; Certification Memo</w:t>
      </w:r>
      <w:r w:rsidR="004C1464" w:rsidRPr="000C5B13">
        <w:rPr>
          <w:rFonts w:ascii="Calibri" w:eastAsia="Calibri" w:hAnsi="Calibri" w:cs="Calibri"/>
          <w:b/>
          <w:bCs/>
          <w:sz w:val="22"/>
          <w:szCs w:val="22"/>
        </w:rPr>
        <w:t>: 18-06-Hospitals</w:t>
      </w:r>
      <w:r w:rsidR="007D1F27">
        <w:rPr>
          <w:rFonts w:ascii="Calibri" w:eastAsia="Calibri" w:hAnsi="Calibri" w:cs="Calibri"/>
          <w:b/>
          <w:bCs/>
          <w:sz w:val="22"/>
          <w:szCs w:val="22"/>
        </w:rPr>
        <w:t xml:space="preserve">, </w:t>
      </w:r>
      <w:r w:rsidR="00B53F64" w:rsidRPr="000C5B13">
        <w:rPr>
          <w:rFonts w:ascii="Calibri" w:eastAsia="Calibri" w:hAnsi="Calibri" w:cs="Calibri"/>
          <w:b/>
          <w:bCs/>
          <w:sz w:val="22"/>
          <w:szCs w:val="22"/>
        </w:rPr>
        <w:t xml:space="preserve">and providing </w:t>
      </w:r>
      <w:r w:rsidR="00BE32AC" w:rsidRPr="000C5B13">
        <w:rPr>
          <w:rFonts w:ascii="Calibri" w:eastAsia="Calibri" w:hAnsi="Calibri" w:cs="Calibri"/>
          <w:b/>
          <w:bCs/>
          <w:sz w:val="22"/>
          <w:szCs w:val="22"/>
        </w:rPr>
        <w:t xml:space="preserve">stakeholders </w:t>
      </w:r>
      <w:r w:rsidR="00B53F64" w:rsidRPr="000C5B13">
        <w:rPr>
          <w:rFonts w:ascii="Calibri" w:eastAsia="Calibri" w:hAnsi="Calibri" w:cs="Calibri"/>
          <w:b/>
          <w:bCs/>
          <w:sz w:val="22"/>
          <w:szCs w:val="22"/>
        </w:rPr>
        <w:t xml:space="preserve">an opportunity to </w:t>
      </w:r>
      <w:r w:rsidR="00BE32AC" w:rsidRPr="000C5B13">
        <w:rPr>
          <w:rFonts w:ascii="Calibri" w:eastAsia="Calibri" w:hAnsi="Calibri" w:cs="Calibri"/>
          <w:b/>
          <w:bCs/>
          <w:sz w:val="22"/>
          <w:szCs w:val="22"/>
        </w:rPr>
        <w:t>share our perspectives</w:t>
      </w:r>
      <w:r w:rsidR="004C1464" w:rsidRPr="000C5B13">
        <w:rPr>
          <w:rFonts w:ascii="Calibri" w:eastAsia="Calibri" w:hAnsi="Calibri" w:cs="Calibri"/>
          <w:b/>
          <w:bCs/>
          <w:sz w:val="22"/>
          <w:szCs w:val="22"/>
        </w:rPr>
        <w:t xml:space="preserve">. </w:t>
      </w:r>
      <w:r w:rsidR="007D1F27" w:rsidRPr="002614A7">
        <w:rPr>
          <w:rFonts w:ascii="Calibri" w:eastAsia="Calibri" w:hAnsi="Calibri" w:cs="Calibri"/>
          <w:b/>
          <w:bCs/>
          <w:sz w:val="22"/>
          <w:szCs w:val="22"/>
        </w:rPr>
        <w:t>G</w:t>
      </w:r>
      <w:r w:rsidR="00BE32AC" w:rsidRPr="002614A7">
        <w:rPr>
          <w:rFonts w:ascii="Calibri" w:eastAsia="Calibri" w:hAnsi="Calibri" w:cs="Calibri"/>
          <w:b/>
          <w:bCs/>
          <w:sz w:val="22"/>
          <w:szCs w:val="22"/>
        </w:rPr>
        <w:t xml:space="preserve">athering stakeholder input on draft guidance will only further align our shared goals and promote clear understanding and expectations by both regulators and providers.  </w:t>
      </w:r>
      <w:r w:rsidR="00FC1ECF" w:rsidRPr="002614A7">
        <w:rPr>
          <w:rFonts w:ascii="Calibri" w:eastAsia="Calibri" w:hAnsi="Calibri" w:cs="Calibri"/>
          <w:b/>
          <w:bCs/>
          <w:sz w:val="22"/>
          <w:szCs w:val="22"/>
        </w:rPr>
        <w:t xml:space="preserve">We hope </w:t>
      </w:r>
      <w:r w:rsidR="00BE32AC" w:rsidRPr="002614A7">
        <w:rPr>
          <w:rFonts w:ascii="Calibri" w:eastAsia="Calibri" w:hAnsi="Calibri" w:cs="Calibri"/>
          <w:b/>
          <w:bCs/>
          <w:sz w:val="22"/>
          <w:szCs w:val="22"/>
        </w:rPr>
        <w:t xml:space="preserve">the agency will continue </w:t>
      </w:r>
      <w:r w:rsidR="00FC1ECF" w:rsidRPr="002614A7">
        <w:rPr>
          <w:rFonts w:ascii="Calibri" w:eastAsia="Calibri" w:hAnsi="Calibri" w:cs="Calibri"/>
          <w:b/>
          <w:bCs/>
          <w:sz w:val="22"/>
          <w:szCs w:val="22"/>
        </w:rPr>
        <w:t>this</w:t>
      </w:r>
      <w:r w:rsidR="00BE32AC" w:rsidRPr="002614A7">
        <w:rPr>
          <w:rFonts w:ascii="Calibri" w:eastAsia="Calibri" w:hAnsi="Calibri" w:cs="Calibri"/>
          <w:b/>
          <w:bCs/>
          <w:sz w:val="22"/>
          <w:szCs w:val="22"/>
        </w:rPr>
        <w:t xml:space="preserve"> approach with additional guidance in the future.</w:t>
      </w:r>
      <w:r w:rsidR="00BE32AC" w:rsidRPr="00F320B6">
        <w:rPr>
          <w:rFonts w:ascii="Calibri" w:eastAsia="Calibri" w:hAnsi="Calibri" w:cs="Calibri"/>
          <w:bCs/>
          <w:sz w:val="22"/>
          <w:szCs w:val="22"/>
        </w:rPr>
        <w:t xml:space="preserve"> </w:t>
      </w:r>
    </w:p>
    <w:p w14:paraId="34F01AC7" w14:textId="77777777" w:rsidR="00BE32AC" w:rsidRDefault="00BE32AC" w:rsidP="005345CD">
      <w:pPr>
        <w:rPr>
          <w:rFonts w:ascii="Calibri" w:eastAsia="Calibri" w:hAnsi="Calibri" w:cs="Calibri"/>
          <w:sz w:val="22"/>
          <w:szCs w:val="22"/>
        </w:rPr>
      </w:pPr>
    </w:p>
    <w:p w14:paraId="10B0C7D7" w14:textId="382D4FB6" w:rsidR="00D56028" w:rsidRDefault="00FC1ECF" w:rsidP="005345CD">
      <w:pPr>
        <w:rPr>
          <w:rFonts w:ascii="Calibri" w:eastAsia="Calibri" w:hAnsi="Calibri" w:cs="Calibri"/>
          <w:sz w:val="22"/>
          <w:szCs w:val="22"/>
        </w:rPr>
      </w:pPr>
      <w:r>
        <w:rPr>
          <w:rFonts w:ascii="Calibri" w:eastAsia="Calibri" w:hAnsi="Calibri" w:cs="Calibri"/>
          <w:sz w:val="22"/>
          <w:szCs w:val="22"/>
        </w:rPr>
        <w:t>S</w:t>
      </w:r>
      <w:r w:rsidR="00BE32AC">
        <w:rPr>
          <w:rFonts w:ascii="Calibri" w:eastAsia="Calibri" w:hAnsi="Calibri" w:cs="Calibri"/>
          <w:sz w:val="22"/>
          <w:szCs w:val="22"/>
        </w:rPr>
        <w:t>everal of the proposed changes</w:t>
      </w:r>
      <w:r w:rsidR="004C1464">
        <w:rPr>
          <w:rFonts w:ascii="Calibri" w:eastAsia="Calibri" w:hAnsi="Calibri" w:cs="Calibri"/>
          <w:sz w:val="22"/>
          <w:szCs w:val="22"/>
        </w:rPr>
        <w:t xml:space="preserve"> are a step in the right direction</w:t>
      </w:r>
      <w:r w:rsidR="00BE32AC">
        <w:rPr>
          <w:rFonts w:ascii="Calibri" w:eastAsia="Calibri" w:hAnsi="Calibri" w:cs="Calibri"/>
          <w:sz w:val="22"/>
          <w:szCs w:val="22"/>
        </w:rPr>
        <w:t>, but additional clarity is needed</w:t>
      </w:r>
      <w:r w:rsidR="004C1464">
        <w:rPr>
          <w:rFonts w:ascii="Calibri" w:eastAsia="Calibri" w:hAnsi="Calibri" w:cs="Calibri"/>
          <w:sz w:val="22"/>
          <w:szCs w:val="22"/>
        </w:rPr>
        <w:t xml:space="preserve">. </w:t>
      </w:r>
      <w:r w:rsidR="00BE32AC">
        <w:rPr>
          <w:rFonts w:ascii="Calibri" w:eastAsia="Calibri" w:hAnsi="Calibri" w:cs="Calibri"/>
          <w:sz w:val="22"/>
          <w:szCs w:val="22"/>
        </w:rPr>
        <w:t xml:space="preserve">CMS has made great strides in </w:t>
      </w:r>
      <w:r>
        <w:rPr>
          <w:rFonts w:ascii="Calibri" w:eastAsia="Calibri" w:hAnsi="Calibri" w:cs="Calibri"/>
          <w:sz w:val="22"/>
          <w:szCs w:val="22"/>
        </w:rPr>
        <w:t xml:space="preserve">adopting </w:t>
      </w:r>
      <w:r w:rsidR="0049520D">
        <w:rPr>
          <w:rFonts w:ascii="Calibri" w:eastAsia="Calibri" w:hAnsi="Calibri" w:cs="Calibri"/>
          <w:sz w:val="22"/>
          <w:szCs w:val="22"/>
        </w:rPr>
        <w:t xml:space="preserve">draft </w:t>
      </w:r>
      <w:r w:rsidR="00BE32AC">
        <w:rPr>
          <w:rFonts w:ascii="Calibri" w:eastAsia="Calibri" w:hAnsi="Calibri" w:cs="Calibri"/>
          <w:sz w:val="22"/>
          <w:szCs w:val="22"/>
        </w:rPr>
        <w:t xml:space="preserve">language that </w:t>
      </w:r>
      <w:r w:rsidR="00D56028">
        <w:rPr>
          <w:rFonts w:ascii="Calibri" w:eastAsia="Calibri" w:hAnsi="Calibri" w:cs="Calibri"/>
          <w:sz w:val="22"/>
          <w:szCs w:val="22"/>
        </w:rPr>
        <w:t>promote</w:t>
      </w:r>
      <w:r w:rsidR="00BE32AC">
        <w:rPr>
          <w:rFonts w:ascii="Calibri" w:eastAsia="Calibri" w:hAnsi="Calibri" w:cs="Calibri"/>
          <w:sz w:val="22"/>
          <w:szCs w:val="22"/>
        </w:rPr>
        <w:t>s</w:t>
      </w:r>
      <w:r w:rsidR="00D56028">
        <w:rPr>
          <w:rFonts w:ascii="Calibri" w:eastAsia="Calibri" w:hAnsi="Calibri" w:cs="Calibri"/>
          <w:sz w:val="22"/>
          <w:szCs w:val="22"/>
        </w:rPr>
        <w:t xml:space="preserve"> shared understanding </w:t>
      </w:r>
      <w:r w:rsidR="00EE19E7">
        <w:rPr>
          <w:rFonts w:ascii="Calibri" w:eastAsia="Calibri" w:hAnsi="Calibri" w:cs="Calibri"/>
          <w:sz w:val="22"/>
          <w:szCs w:val="22"/>
        </w:rPr>
        <w:t xml:space="preserve">of </w:t>
      </w:r>
      <w:r>
        <w:rPr>
          <w:rFonts w:ascii="Calibri" w:eastAsia="Calibri" w:hAnsi="Calibri" w:cs="Calibri"/>
          <w:sz w:val="22"/>
          <w:szCs w:val="22"/>
        </w:rPr>
        <w:t xml:space="preserve">not only </w:t>
      </w:r>
      <w:r w:rsidR="00EE19E7">
        <w:rPr>
          <w:rFonts w:ascii="Calibri" w:eastAsia="Calibri" w:hAnsi="Calibri" w:cs="Calibri"/>
          <w:sz w:val="22"/>
          <w:szCs w:val="22"/>
        </w:rPr>
        <w:t>what constitutes ligature risk</w:t>
      </w:r>
      <w:r>
        <w:rPr>
          <w:rFonts w:ascii="Calibri" w:eastAsia="Calibri" w:hAnsi="Calibri" w:cs="Calibri"/>
          <w:sz w:val="22"/>
          <w:szCs w:val="22"/>
        </w:rPr>
        <w:t xml:space="preserve">, but also </w:t>
      </w:r>
      <w:r w:rsidR="00EE19E7">
        <w:rPr>
          <w:rFonts w:ascii="Calibri" w:eastAsia="Calibri" w:hAnsi="Calibri" w:cs="Calibri"/>
          <w:sz w:val="22"/>
          <w:szCs w:val="22"/>
        </w:rPr>
        <w:t>CMS’ expectations of hospitals to achieve ligature</w:t>
      </w:r>
      <w:r>
        <w:rPr>
          <w:rFonts w:ascii="Calibri" w:eastAsia="Calibri" w:hAnsi="Calibri" w:cs="Calibri"/>
          <w:sz w:val="22"/>
          <w:szCs w:val="22"/>
        </w:rPr>
        <w:t>-</w:t>
      </w:r>
      <w:r w:rsidR="00EE19E7">
        <w:rPr>
          <w:rFonts w:ascii="Calibri" w:eastAsia="Calibri" w:hAnsi="Calibri" w:cs="Calibri"/>
          <w:sz w:val="22"/>
          <w:szCs w:val="22"/>
        </w:rPr>
        <w:t>resistant environment</w:t>
      </w:r>
      <w:r w:rsidR="002F07DB">
        <w:rPr>
          <w:rFonts w:ascii="Calibri" w:eastAsia="Calibri" w:hAnsi="Calibri" w:cs="Calibri"/>
          <w:sz w:val="22"/>
          <w:szCs w:val="22"/>
        </w:rPr>
        <w:t>s</w:t>
      </w:r>
      <w:r w:rsidR="00EE19E7">
        <w:rPr>
          <w:rFonts w:ascii="Calibri" w:eastAsia="Calibri" w:hAnsi="Calibri" w:cs="Calibri"/>
          <w:sz w:val="22"/>
          <w:szCs w:val="22"/>
        </w:rPr>
        <w:t xml:space="preserve">. </w:t>
      </w:r>
      <w:r w:rsidRPr="00F320B6">
        <w:rPr>
          <w:rFonts w:ascii="Calibri" w:eastAsia="Calibri" w:hAnsi="Calibri" w:cs="Calibri"/>
          <w:b/>
          <w:sz w:val="22"/>
          <w:szCs w:val="22"/>
        </w:rPr>
        <w:t>C</w:t>
      </w:r>
      <w:r w:rsidR="004C1464" w:rsidRPr="00F320B6">
        <w:rPr>
          <w:rFonts w:ascii="Calibri" w:eastAsia="Calibri" w:hAnsi="Calibri" w:cs="Calibri"/>
          <w:b/>
          <w:sz w:val="22"/>
          <w:szCs w:val="22"/>
        </w:rPr>
        <w:t xml:space="preserve">ontinued </w:t>
      </w:r>
      <w:r w:rsidR="0049520D" w:rsidRPr="00F320B6">
        <w:rPr>
          <w:rFonts w:ascii="Calibri" w:eastAsia="Calibri" w:hAnsi="Calibri" w:cs="Calibri"/>
          <w:b/>
          <w:sz w:val="22"/>
          <w:szCs w:val="22"/>
        </w:rPr>
        <w:t xml:space="preserve">refinements to the language, as well as </w:t>
      </w:r>
      <w:r w:rsidR="00D56028" w:rsidRPr="00F320B6">
        <w:rPr>
          <w:rFonts w:ascii="Calibri" w:eastAsia="Calibri" w:hAnsi="Calibri" w:cs="Calibri"/>
          <w:b/>
          <w:sz w:val="22"/>
          <w:szCs w:val="22"/>
        </w:rPr>
        <w:t xml:space="preserve">provider </w:t>
      </w:r>
      <w:r w:rsidR="00BE32AC" w:rsidRPr="00F320B6">
        <w:rPr>
          <w:rFonts w:ascii="Calibri" w:eastAsia="Calibri" w:hAnsi="Calibri" w:cs="Calibri"/>
          <w:b/>
          <w:sz w:val="22"/>
          <w:szCs w:val="22"/>
        </w:rPr>
        <w:t xml:space="preserve">and state survey agency </w:t>
      </w:r>
      <w:r w:rsidR="00D56028" w:rsidRPr="00F320B6">
        <w:rPr>
          <w:rFonts w:ascii="Calibri" w:eastAsia="Calibri" w:hAnsi="Calibri" w:cs="Calibri"/>
          <w:b/>
          <w:sz w:val="22"/>
          <w:szCs w:val="22"/>
        </w:rPr>
        <w:t>engagement</w:t>
      </w:r>
      <w:r w:rsidR="0049520D" w:rsidRPr="00F320B6">
        <w:rPr>
          <w:rFonts w:ascii="Calibri" w:eastAsia="Calibri" w:hAnsi="Calibri" w:cs="Calibri"/>
          <w:b/>
          <w:sz w:val="22"/>
          <w:szCs w:val="22"/>
        </w:rPr>
        <w:t xml:space="preserve"> and education</w:t>
      </w:r>
      <w:r w:rsidR="002A0D43" w:rsidRPr="00F320B6">
        <w:rPr>
          <w:rFonts w:ascii="Calibri" w:eastAsia="Calibri" w:hAnsi="Calibri" w:cs="Calibri"/>
          <w:b/>
          <w:sz w:val="22"/>
          <w:szCs w:val="22"/>
        </w:rPr>
        <w:t>,</w:t>
      </w:r>
      <w:r w:rsidR="0049520D" w:rsidRPr="00F320B6">
        <w:rPr>
          <w:rFonts w:ascii="Calibri" w:eastAsia="Calibri" w:hAnsi="Calibri" w:cs="Calibri"/>
          <w:b/>
          <w:sz w:val="22"/>
          <w:szCs w:val="22"/>
        </w:rPr>
        <w:t xml:space="preserve"> </w:t>
      </w:r>
      <w:r w:rsidRPr="00F320B6">
        <w:rPr>
          <w:rFonts w:ascii="Calibri" w:eastAsia="Calibri" w:hAnsi="Calibri" w:cs="Calibri"/>
          <w:b/>
          <w:sz w:val="22"/>
          <w:szCs w:val="22"/>
        </w:rPr>
        <w:t>will be</w:t>
      </w:r>
      <w:r w:rsidR="0049520D" w:rsidRPr="00F320B6">
        <w:rPr>
          <w:rFonts w:ascii="Calibri" w:eastAsia="Calibri" w:hAnsi="Calibri" w:cs="Calibri"/>
          <w:b/>
          <w:sz w:val="22"/>
          <w:szCs w:val="22"/>
        </w:rPr>
        <w:t xml:space="preserve"> imperative for successful implementation. </w:t>
      </w:r>
      <w:r w:rsidR="0049520D">
        <w:rPr>
          <w:rFonts w:ascii="Calibri" w:eastAsia="Calibri" w:hAnsi="Calibri" w:cs="Calibri"/>
          <w:sz w:val="22"/>
          <w:szCs w:val="22"/>
        </w:rPr>
        <w:t xml:space="preserve">We look forward to working with the agency in these endeavors. </w:t>
      </w:r>
      <w:r w:rsidR="00D56028">
        <w:rPr>
          <w:rFonts w:ascii="Calibri" w:eastAsia="Calibri" w:hAnsi="Calibri" w:cs="Calibri"/>
          <w:sz w:val="22"/>
          <w:szCs w:val="22"/>
        </w:rPr>
        <w:t xml:space="preserve"> </w:t>
      </w:r>
    </w:p>
    <w:p w14:paraId="326450B7" w14:textId="4D793C9E" w:rsidR="0073368F" w:rsidRDefault="0073368F" w:rsidP="005345CD">
      <w:pPr>
        <w:rPr>
          <w:rFonts w:ascii="Calibri" w:eastAsia="Calibri" w:hAnsi="Calibri" w:cs="Calibri"/>
          <w:sz w:val="22"/>
          <w:szCs w:val="22"/>
        </w:rPr>
      </w:pPr>
    </w:p>
    <w:p w14:paraId="4A954AD9" w14:textId="65FB9379" w:rsidR="00774B56" w:rsidRDefault="00774B56" w:rsidP="00774B56">
      <w:pPr>
        <w:rPr>
          <w:rFonts w:ascii="Calibri" w:eastAsia="Calibri" w:hAnsi="Calibri" w:cs="Calibri"/>
          <w:sz w:val="22"/>
          <w:szCs w:val="22"/>
        </w:rPr>
      </w:pPr>
      <w:r>
        <w:rPr>
          <w:rFonts w:ascii="Calibri" w:eastAsia="Calibri" w:hAnsi="Calibri" w:cs="Calibri"/>
          <w:sz w:val="22"/>
          <w:szCs w:val="22"/>
        </w:rPr>
        <w:t>In summary</w:t>
      </w:r>
      <w:r w:rsidR="00CC6162">
        <w:rPr>
          <w:rFonts w:ascii="Calibri" w:eastAsia="Calibri" w:hAnsi="Calibri" w:cs="Calibri"/>
          <w:sz w:val="22"/>
          <w:szCs w:val="22"/>
        </w:rPr>
        <w:t>:</w:t>
      </w:r>
    </w:p>
    <w:p w14:paraId="4B6C56AE" w14:textId="77777777" w:rsidR="006D4149" w:rsidRDefault="006D4149" w:rsidP="00774B56">
      <w:pPr>
        <w:rPr>
          <w:rFonts w:ascii="Calibri" w:eastAsia="Calibri" w:hAnsi="Calibri" w:cs="Calibri"/>
          <w:sz w:val="22"/>
          <w:szCs w:val="22"/>
        </w:rPr>
      </w:pPr>
    </w:p>
    <w:p w14:paraId="66C1A3B6" w14:textId="3DF11505" w:rsidR="00074F33" w:rsidRDefault="0035640A" w:rsidP="003B26A4">
      <w:pPr>
        <w:pStyle w:val="ListParagraph"/>
        <w:numPr>
          <w:ilvl w:val="0"/>
          <w:numId w:val="7"/>
        </w:numPr>
        <w:rPr>
          <w:rFonts w:ascii="Calibri" w:eastAsia="Calibri" w:hAnsi="Calibri" w:cs="Calibri"/>
          <w:sz w:val="22"/>
          <w:szCs w:val="22"/>
        </w:rPr>
      </w:pPr>
      <w:r w:rsidRPr="0035640A">
        <w:rPr>
          <w:rFonts w:ascii="Calibri" w:eastAsia="Calibri" w:hAnsi="Calibri" w:cs="Calibri"/>
          <w:sz w:val="22"/>
          <w:szCs w:val="22"/>
        </w:rPr>
        <w:t xml:space="preserve">CHA requests that CMS </w:t>
      </w:r>
      <w:r w:rsidR="00074F33">
        <w:rPr>
          <w:rFonts w:ascii="Calibri" w:eastAsia="Calibri" w:hAnsi="Calibri" w:cs="Calibri"/>
          <w:sz w:val="22"/>
          <w:szCs w:val="22"/>
        </w:rPr>
        <w:t xml:space="preserve">limit </w:t>
      </w:r>
      <w:r w:rsidRPr="0035640A">
        <w:rPr>
          <w:rFonts w:ascii="Calibri" w:eastAsia="Calibri" w:hAnsi="Calibri" w:cs="Calibri"/>
          <w:sz w:val="22"/>
          <w:szCs w:val="22"/>
        </w:rPr>
        <w:t xml:space="preserve">the scope of ligature resistant requirements </w:t>
      </w:r>
      <w:r w:rsidR="00074F33">
        <w:rPr>
          <w:rFonts w:ascii="Calibri" w:eastAsia="Calibri" w:hAnsi="Calibri" w:cs="Calibri"/>
          <w:sz w:val="22"/>
          <w:szCs w:val="22"/>
        </w:rPr>
        <w:t>to</w:t>
      </w:r>
      <w:r w:rsidRPr="0035640A">
        <w:rPr>
          <w:rFonts w:ascii="Calibri" w:eastAsia="Calibri" w:hAnsi="Calibri" w:cs="Calibri"/>
          <w:sz w:val="22"/>
          <w:szCs w:val="22"/>
        </w:rPr>
        <w:t xml:space="preserve"> locked psychiatric units within psychiatric and acute care hospitals. This would establish a bright line </w:t>
      </w:r>
      <w:r w:rsidR="00074F33">
        <w:rPr>
          <w:rFonts w:ascii="Calibri" w:eastAsia="Calibri" w:hAnsi="Calibri" w:cs="Calibri"/>
          <w:sz w:val="22"/>
          <w:szCs w:val="22"/>
        </w:rPr>
        <w:t xml:space="preserve">between locked and unlocked units </w:t>
      </w:r>
      <w:r w:rsidRPr="0035640A">
        <w:rPr>
          <w:rFonts w:ascii="Calibri" w:eastAsia="Calibri" w:hAnsi="Calibri" w:cs="Calibri"/>
          <w:sz w:val="22"/>
          <w:szCs w:val="22"/>
        </w:rPr>
        <w:t xml:space="preserve">so hospitals can consistently and thoroughly comply. </w:t>
      </w:r>
      <w:r w:rsidR="00074F33">
        <w:rPr>
          <w:rFonts w:ascii="Calibri" w:eastAsia="Calibri" w:hAnsi="Calibri" w:cs="Calibri"/>
          <w:sz w:val="22"/>
          <w:szCs w:val="22"/>
        </w:rPr>
        <w:t>F</w:t>
      </w:r>
      <w:r w:rsidRPr="0035640A">
        <w:rPr>
          <w:rFonts w:ascii="Calibri" w:eastAsia="Calibri" w:hAnsi="Calibri" w:cs="Calibri"/>
          <w:sz w:val="22"/>
          <w:szCs w:val="22"/>
        </w:rPr>
        <w:t>or emergency departments</w:t>
      </w:r>
      <w:r w:rsidR="00FC1ECF">
        <w:rPr>
          <w:rFonts w:ascii="Calibri" w:eastAsia="Calibri" w:hAnsi="Calibri" w:cs="Calibri"/>
          <w:sz w:val="22"/>
          <w:szCs w:val="22"/>
        </w:rPr>
        <w:t xml:space="preserve"> and</w:t>
      </w:r>
      <w:r w:rsidRPr="0035640A">
        <w:rPr>
          <w:rFonts w:ascii="Calibri" w:eastAsia="Calibri" w:hAnsi="Calibri" w:cs="Calibri"/>
          <w:sz w:val="22"/>
          <w:szCs w:val="22"/>
        </w:rPr>
        <w:t xml:space="preserve"> other </w:t>
      </w:r>
      <w:r w:rsidR="00074F33">
        <w:rPr>
          <w:rFonts w:ascii="Calibri" w:eastAsia="Calibri" w:hAnsi="Calibri" w:cs="Calibri"/>
          <w:sz w:val="22"/>
          <w:szCs w:val="22"/>
        </w:rPr>
        <w:t xml:space="preserve">unlocked </w:t>
      </w:r>
      <w:r w:rsidRPr="0035640A">
        <w:rPr>
          <w:rFonts w:ascii="Calibri" w:eastAsia="Calibri" w:hAnsi="Calibri" w:cs="Calibri"/>
          <w:sz w:val="22"/>
          <w:szCs w:val="22"/>
        </w:rPr>
        <w:t>areas of hospitals</w:t>
      </w:r>
      <w:r w:rsidR="00FC1ECF">
        <w:rPr>
          <w:rFonts w:ascii="Calibri" w:eastAsia="Calibri" w:hAnsi="Calibri" w:cs="Calibri"/>
          <w:sz w:val="22"/>
          <w:szCs w:val="22"/>
        </w:rPr>
        <w:t>,</w:t>
      </w:r>
      <w:r w:rsidR="00074F33">
        <w:rPr>
          <w:rFonts w:ascii="Calibri" w:eastAsia="Calibri" w:hAnsi="Calibri" w:cs="Calibri"/>
          <w:sz w:val="22"/>
          <w:szCs w:val="22"/>
        </w:rPr>
        <w:t xml:space="preserve"> </w:t>
      </w:r>
      <w:r w:rsidRPr="0035640A">
        <w:rPr>
          <w:rFonts w:ascii="Calibri" w:eastAsia="Calibri" w:hAnsi="Calibri" w:cs="Calibri"/>
          <w:sz w:val="22"/>
          <w:szCs w:val="22"/>
        </w:rPr>
        <w:t>hospitals</w:t>
      </w:r>
      <w:r w:rsidR="002A0D43">
        <w:rPr>
          <w:rFonts w:ascii="Calibri" w:eastAsia="Calibri" w:hAnsi="Calibri" w:cs="Calibri"/>
          <w:sz w:val="22"/>
          <w:szCs w:val="22"/>
        </w:rPr>
        <w:t xml:space="preserve"> </w:t>
      </w:r>
      <w:r w:rsidRPr="0035640A">
        <w:rPr>
          <w:rFonts w:ascii="Calibri" w:eastAsia="Calibri" w:hAnsi="Calibri" w:cs="Calibri"/>
          <w:sz w:val="22"/>
          <w:szCs w:val="22"/>
        </w:rPr>
        <w:t xml:space="preserve">would still take steps to </w:t>
      </w:r>
      <w:r w:rsidR="00FC1ECF">
        <w:rPr>
          <w:rFonts w:ascii="Calibri" w:eastAsia="Calibri" w:hAnsi="Calibri" w:cs="Calibri"/>
          <w:sz w:val="22"/>
          <w:szCs w:val="22"/>
        </w:rPr>
        <w:t>prevent</w:t>
      </w:r>
      <w:r w:rsidR="00FC1ECF" w:rsidRPr="0035640A">
        <w:rPr>
          <w:rFonts w:ascii="Calibri" w:eastAsia="Calibri" w:hAnsi="Calibri" w:cs="Calibri"/>
          <w:sz w:val="22"/>
          <w:szCs w:val="22"/>
        </w:rPr>
        <w:t xml:space="preserve"> </w:t>
      </w:r>
      <w:r w:rsidRPr="0035640A">
        <w:rPr>
          <w:rFonts w:ascii="Calibri" w:eastAsia="Calibri" w:hAnsi="Calibri" w:cs="Calibri"/>
          <w:sz w:val="22"/>
          <w:szCs w:val="22"/>
        </w:rPr>
        <w:lastRenderedPageBreak/>
        <w:t xml:space="preserve">patients </w:t>
      </w:r>
      <w:r w:rsidR="00FC1ECF">
        <w:rPr>
          <w:rFonts w:ascii="Calibri" w:eastAsia="Calibri" w:hAnsi="Calibri" w:cs="Calibri"/>
          <w:sz w:val="22"/>
          <w:szCs w:val="22"/>
        </w:rPr>
        <w:t>from harming themselves</w:t>
      </w:r>
      <w:r w:rsidRPr="0035640A">
        <w:rPr>
          <w:rFonts w:ascii="Calibri" w:eastAsia="Calibri" w:hAnsi="Calibri" w:cs="Calibri"/>
          <w:sz w:val="22"/>
          <w:szCs w:val="22"/>
        </w:rPr>
        <w:t xml:space="preserve"> or others</w:t>
      </w:r>
      <w:r w:rsidR="002A0D43">
        <w:rPr>
          <w:rFonts w:ascii="Calibri" w:eastAsia="Calibri" w:hAnsi="Calibri" w:cs="Calibri"/>
          <w:sz w:val="22"/>
          <w:szCs w:val="22"/>
        </w:rPr>
        <w:t>,</w:t>
      </w:r>
      <w:r w:rsidRPr="0035640A">
        <w:rPr>
          <w:rFonts w:ascii="Calibri" w:eastAsia="Calibri" w:hAnsi="Calibri" w:cs="Calibri"/>
          <w:sz w:val="22"/>
          <w:szCs w:val="22"/>
        </w:rPr>
        <w:t xml:space="preserve"> </w:t>
      </w:r>
      <w:r w:rsidR="00FC1ECF">
        <w:rPr>
          <w:rFonts w:ascii="Calibri" w:eastAsia="Calibri" w:hAnsi="Calibri" w:cs="Calibri"/>
          <w:sz w:val="22"/>
          <w:szCs w:val="22"/>
        </w:rPr>
        <w:t xml:space="preserve">as outlined in the guidance and </w:t>
      </w:r>
      <w:r w:rsidRPr="0035640A">
        <w:rPr>
          <w:rFonts w:ascii="Calibri" w:eastAsia="Calibri" w:hAnsi="Calibri" w:cs="Calibri"/>
          <w:sz w:val="22"/>
          <w:szCs w:val="22"/>
        </w:rPr>
        <w:t xml:space="preserve">in accordance with nationally recognized standards and guidelines. </w:t>
      </w:r>
      <w:r w:rsidR="005A12A1">
        <w:rPr>
          <w:rFonts w:ascii="Calibri" w:eastAsia="Calibri" w:hAnsi="Calibri" w:cs="Calibri"/>
          <w:sz w:val="22"/>
          <w:szCs w:val="22"/>
        </w:rPr>
        <w:t>Language in the guidance that focuses on the</w:t>
      </w:r>
      <w:r w:rsidR="00FC1ECF">
        <w:rPr>
          <w:rFonts w:ascii="Calibri" w:eastAsia="Calibri" w:hAnsi="Calibri" w:cs="Calibri"/>
          <w:sz w:val="22"/>
          <w:szCs w:val="22"/>
        </w:rPr>
        <w:t xml:space="preserve"> patient’s</w:t>
      </w:r>
      <w:r w:rsidR="005A12A1">
        <w:rPr>
          <w:rFonts w:ascii="Calibri" w:eastAsia="Calibri" w:hAnsi="Calibri" w:cs="Calibri"/>
          <w:sz w:val="22"/>
          <w:szCs w:val="22"/>
        </w:rPr>
        <w:t xml:space="preserve"> needs, rather than the setting </w:t>
      </w:r>
      <w:r w:rsidR="00FC1ECF">
        <w:rPr>
          <w:rFonts w:ascii="Calibri" w:eastAsia="Calibri" w:hAnsi="Calibri" w:cs="Calibri"/>
          <w:sz w:val="22"/>
          <w:szCs w:val="22"/>
        </w:rPr>
        <w:t>in which</w:t>
      </w:r>
      <w:r w:rsidR="005A12A1">
        <w:rPr>
          <w:rFonts w:ascii="Calibri" w:eastAsia="Calibri" w:hAnsi="Calibri" w:cs="Calibri"/>
          <w:sz w:val="22"/>
          <w:szCs w:val="22"/>
        </w:rPr>
        <w:t xml:space="preserve"> care is provided</w:t>
      </w:r>
      <w:r w:rsidR="002A0D43">
        <w:rPr>
          <w:rFonts w:ascii="Calibri" w:eastAsia="Calibri" w:hAnsi="Calibri" w:cs="Calibri"/>
          <w:sz w:val="22"/>
          <w:szCs w:val="22"/>
        </w:rPr>
        <w:t>,</w:t>
      </w:r>
      <w:r w:rsidR="005A12A1">
        <w:rPr>
          <w:rFonts w:ascii="Calibri" w:eastAsia="Calibri" w:hAnsi="Calibri" w:cs="Calibri"/>
          <w:sz w:val="22"/>
          <w:szCs w:val="22"/>
        </w:rPr>
        <w:t xml:space="preserve"> will provide greater clarity for surveyors and clear expectations for providers. </w:t>
      </w:r>
    </w:p>
    <w:p w14:paraId="60CD98A2" w14:textId="5772EA68" w:rsidR="003B26A4" w:rsidRPr="00357875" w:rsidRDefault="003B26A4" w:rsidP="003B26A4">
      <w:pPr>
        <w:pStyle w:val="ListParagraph"/>
        <w:numPr>
          <w:ilvl w:val="0"/>
          <w:numId w:val="7"/>
        </w:numPr>
        <w:rPr>
          <w:rFonts w:ascii="Calibri" w:eastAsia="Calibri" w:hAnsi="Calibri" w:cs="Calibri"/>
          <w:sz w:val="22"/>
          <w:szCs w:val="22"/>
        </w:rPr>
      </w:pPr>
      <w:r w:rsidRPr="00357875">
        <w:rPr>
          <w:rFonts w:ascii="Calibri" w:eastAsia="Calibri" w:hAnsi="Calibri" w:cs="Calibri"/>
          <w:sz w:val="22"/>
          <w:szCs w:val="22"/>
        </w:rPr>
        <w:t xml:space="preserve">CHA </w:t>
      </w:r>
      <w:r w:rsidR="005A12A1">
        <w:rPr>
          <w:rFonts w:ascii="Calibri" w:eastAsia="Calibri" w:hAnsi="Calibri" w:cs="Calibri"/>
          <w:sz w:val="22"/>
          <w:szCs w:val="22"/>
        </w:rPr>
        <w:t>supports</w:t>
      </w:r>
      <w:r w:rsidR="005A12A1" w:rsidRPr="00357875">
        <w:rPr>
          <w:rFonts w:ascii="Calibri" w:eastAsia="Calibri" w:hAnsi="Calibri" w:cs="Calibri"/>
          <w:sz w:val="22"/>
          <w:szCs w:val="22"/>
        </w:rPr>
        <w:t xml:space="preserve"> </w:t>
      </w:r>
      <w:r w:rsidRPr="00357875">
        <w:rPr>
          <w:rFonts w:ascii="Calibri" w:eastAsia="Calibri" w:hAnsi="Calibri" w:cs="Calibri"/>
          <w:sz w:val="22"/>
          <w:szCs w:val="22"/>
        </w:rPr>
        <w:t>CMS</w:t>
      </w:r>
      <w:r w:rsidR="00FC1ECF">
        <w:rPr>
          <w:rFonts w:ascii="Calibri" w:eastAsia="Calibri" w:hAnsi="Calibri" w:cs="Calibri"/>
          <w:sz w:val="22"/>
          <w:szCs w:val="22"/>
        </w:rPr>
        <w:t>’</w:t>
      </w:r>
      <w:r w:rsidRPr="00357875">
        <w:rPr>
          <w:rFonts w:ascii="Calibri" w:eastAsia="Calibri" w:hAnsi="Calibri" w:cs="Calibri"/>
          <w:sz w:val="22"/>
          <w:szCs w:val="22"/>
        </w:rPr>
        <w:t xml:space="preserve"> recogn</w:t>
      </w:r>
      <w:r w:rsidR="005A12A1">
        <w:rPr>
          <w:rFonts w:ascii="Calibri" w:eastAsia="Calibri" w:hAnsi="Calibri" w:cs="Calibri"/>
          <w:sz w:val="22"/>
          <w:szCs w:val="22"/>
        </w:rPr>
        <w:t xml:space="preserve">ition </w:t>
      </w:r>
      <w:r w:rsidRPr="00357875">
        <w:rPr>
          <w:rFonts w:ascii="Calibri" w:eastAsia="Calibri" w:hAnsi="Calibri" w:cs="Calibri"/>
          <w:sz w:val="22"/>
          <w:szCs w:val="22"/>
        </w:rPr>
        <w:t>that the current 60-day compliance time</w:t>
      </w:r>
      <w:r w:rsidR="004B6295">
        <w:rPr>
          <w:rFonts w:ascii="Calibri" w:eastAsia="Calibri" w:hAnsi="Calibri" w:cs="Calibri"/>
          <w:sz w:val="22"/>
          <w:szCs w:val="22"/>
        </w:rPr>
        <w:t xml:space="preserve"> </w:t>
      </w:r>
      <w:r w:rsidRPr="00357875">
        <w:rPr>
          <w:rFonts w:ascii="Calibri" w:eastAsia="Calibri" w:hAnsi="Calibri" w:cs="Calibri"/>
          <w:sz w:val="22"/>
          <w:szCs w:val="22"/>
        </w:rPr>
        <w:t xml:space="preserve">frame is not always reasonable and </w:t>
      </w:r>
      <w:r w:rsidR="005A12A1">
        <w:rPr>
          <w:rFonts w:ascii="Calibri" w:eastAsia="Calibri" w:hAnsi="Calibri" w:cs="Calibri"/>
          <w:sz w:val="22"/>
          <w:szCs w:val="22"/>
        </w:rPr>
        <w:t xml:space="preserve">applauds the agency for </w:t>
      </w:r>
      <w:r w:rsidRPr="00357875">
        <w:rPr>
          <w:rFonts w:ascii="Calibri" w:eastAsia="Calibri" w:hAnsi="Calibri" w:cs="Calibri"/>
          <w:sz w:val="22"/>
          <w:szCs w:val="22"/>
        </w:rPr>
        <w:t>establish</w:t>
      </w:r>
      <w:r w:rsidR="005A12A1">
        <w:rPr>
          <w:rFonts w:ascii="Calibri" w:eastAsia="Calibri" w:hAnsi="Calibri" w:cs="Calibri"/>
          <w:sz w:val="22"/>
          <w:szCs w:val="22"/>
        </w:rPr>
        <w:t>ing</w:t>
      </w:r>
      <w:r w:rsidRPr="00357875">
        <w:rPr>
          <w:rFonts w:ascii="Calibri" w:eastAsia="Calibri" w:hAnsi="Calibri" w:cs="Calibri"/>
          <w:sz w:val="22"/>
          <w:szCs w:val="22"/>
        </w:rPr>
        <w:t xml:space="preserve"> a </w:t>
      </w:r>
      <w:r w:rsidR="009640B8">
        <w:rPr>
          <w:rFonts w:ascii="Calibri" w:eastAsia="Calibri" w:hAnsi="Calibri" w:cs="Calibri"/>
          <w:sz w:val="22"/>
          <w:szCs w:val="22"/>
        </w:rPr>
        <w:t>ligature risk extension request (</w:t>
      </w:r>
      <w:r w:rsidRPr="00357875">
        <w:rPr>
          <w:rFonts w:ascii="Calibri" w:eastAsia="Calibri" w:hAnsi="Calibri" w:cs="Calibri"/>
          <w:sz w:val="22"/>
          <w:szCs w:val="22"/>
        </w:rPr>
        <w:t>LRER</w:t>
      </w:r>
      <w:r w:rsidR="009640B8">
        <w:rPr>
          <w:rFonts w:ascii="Calibri" w:eastAsia="Calibri" w:hAnsi="Calibri" w:cs="Calibri"/>
          <w:sz w:val="22"/>
          <w:szCs w:val="22"/>
        </w:rPr>
        <w:t>)</w:t>
      </w:r>
      <w:r w:rsidRPr="00357875">
        <w:rPr>
          <w:rFonts w:ascii="Calibri" w:eastAsia="Calibri" w:hAnsi="Calibri" w:cs="Calibri"/>
          <w:sz w:val="22"/>
          <w:szCs w:val="22"/>
        </w:rPr>
        <w:t xml:space="preserve"> process by which hospitals</w:t>
      </w:r>
      <w:r w:rsidR="004B6295">
        <w:rPr>
          <w:rFonts w:ascii="Calibri" w:eastAsia="Calibri" w:hAnsi="Calibri" w:cs="Calibri"/>
          <w:sz w:val="22"/>
          <w:szCs w:val="22"/>
        </w:rPr>
        <w:t xml:space="preserve"> can</w:t>
      </w:r>
      <w:r w:rsidRPr="00357875">
        <w:rPr>
          <w:rFonts w:ascii="Calibri" w:eastAsia="Calibri" w:hAnsi="Calibri" w:cs="Calibri"/>
          <w:sz w:val="22"/>
          <w:szCs w:val="22"/>
        </w:rPr>
        <w:t xml:space="preserve">, on a case-by-case basis, request additional time to meet requirements. </w:t>
      </w:r>
      <w:r w:rsidR="005A12A1">
        <w:rPr>
          <w:rFonts w:ascii="Calibri" w:eastAsia="Calibri" w:hAnsi="Calibri" w:cs="Calibri"/>
          <w:sz w:val="22"/>
          <w:szCs w:val="22"/>
        </w:rPr>
        <w:t xml:space="preserve">To further improve this process and to increase transparency and accountability, </w:t>
      </w:r>
      <w:r w:rsidR="009640B8">
        <w:rPr>
          <w:rFonts w:ascii="Calibri" w:eastAsia="Calibri" w:hAnsi="Calibri" w:cs="Calibri"/>
          <w:sz w:val="22"/>
          <w:szCs w:val="22"/>
        </w:rPr>
        <w:t xml:space="preserve">CHA </w:t>
      </w:r>
      <w:r w:rsidR="005A12A1">
        <w:rPr>
          <w:rFonts w:ascii="Calibri" w:eastAsia="Calibri" w:hAnsi="Calibri" w:cs="Calibri"/>
          <w:sz w:val="22"/>
          <w:szCs w:val="22"/>
        </w:rPr>
        <w:t xml:space="preserve">urges CMS to consider </w:t>
      </w:r>
      <w:r w:rsidR="009640B8">
        <w:rPr>
          <w:rFonts w:ascii="Calibri" w:eastAsia="Calibri" w:hAnsi="Calibri" w:cs="Calibri"/>
          <w:sz w:val="22"/>
          <w:szCs w:val="22"/>
        </w:rPr>
        <w:t>a number of clarifications</w:t>
      </w:r>
      <w:r w:rsidR="0074753D">
        <w:rPr>
          <w:rFonts w:ascii="Calibri" w:eastAsia="Calibri" w:hAnsi="Calibri" w:cs="Calibri"/>
          <w:sz w:val="22"/>
          <w:szCs w:val="22"/>
        </w:rPr>
        <w:t xml:space="preserve">, </w:t>
      </w:r>
      <w:r w:rsidR="003D52F4">
        <w:rPr>
          <w:rFonts w:ascii="Calibri" w:eastAsia="Calibri" w:hAnsi="Calibri" w:cs="Calibri"/>
          <w:sz w:val="22"/>
          <w:szCs w:val="22"/>
        </w:rPr>
        <w:t>including</w:t>
      </w:r>
      <w:r w:rsidR="0074753D">
        <w:rPr>
          <w:rFonts w:ascii="Calibri" w:eastAsia="Calibri" w:hAnsi="Calibri" w:cs="Calibri"/>
          <w:sz w:val="22"/>
          <w:szCs w:val="22"/>
        </w:rPr>
        <w:t xml:space="preserve"> </w:t>
      </w:r>
      <w:r w:rsidR="002706BF">
        <w:rPr>
          <w:rFonts w:ascii="Calibri" w:eastAsia="Calibri" w:hAnsi="Calibri" w:cs="Calibri"/>
          <w:sz w:val="22"/>
          <w:szCs w:val="22"/>
        </w:rPr>
        <w:t>establishing</w:t>
      </w:r>
      <w:r w:rsidR="008C4B92">
        <w:rPr>
          <w:rFonts w:ascii="Calibri" w:eastAsia="Calibri" w:hAnsi="Calibri" w:cs="Calibri"/>
          <w:sz w:val="22"/>
          <w:szCs w:val="22"/>
        </w:rPr>
        <w:t xml:space="preserve"> criteria</w:t>
      </w:r>
      <w:r w:rsidR="005A12A1">
        <w:rPr>
          <w:rFonts w:ascii="Calibri" w:eastAsia="Calibri" w:hAnsi="Calibri" w:cs="Calibri"/>
          <w:sz w:val="22"/>
          <w:szCs w:val="22"/>
        </w:rPr>
        <w:t xml:space="preserve"> or </w:t>
      </w:r>
      <w:r w:rsidR="002F07DB">
        <w:rPr>
          <w:rFonts w:ascii="Calibri" w:eastAsia="Calibri" w:hAnsi="Calibri" w:cs="Calibri"/>
          <w:sz w:val="22"/>
          <w:szCs w:val="22"/>
        </w:rPr>
        <w:t xml:space="preserve">a </w:t>
      </w:r>
      <w:r w:rsidR="005A12A1">
        <w:rPr>
          <w:rFonts w:ascii="Calibri" w:eastAsia="Calibri" w:hAnsi="Calibri" w:cs="Calibri"/>
          <w:sz w:val="22"/>
          <w:szCs w:val="22"/>
        </w:rPr>
        <w:t>framework</w:t>
      </w:r>
      <w:r w:rsidR="008C4B92">
        <w:rPr>
          <w:rFonts w:ascii="Calibri" w:eastAsia="Calibri" w:hAnsi="Calibri" w:cs="Calibri"/>
          <w:sz w:val="22"/>
          <w:szCs w:val="22"/>
        </w:rPr>
        <w:t xml:space="preserve"> to approve or deny a request</w:t>
      </w:r>
      <w:r w:rsidR="002706BF">
        <w:rPr>
          <w:rFonts w:ascii="Calibri" w:eastAsia="Calibri" w:hAnsi="Calibri" w:cs="Calibri"/>
          <w:sz w:val="22"/>
          <w:szCs w:val="22"/>
        </w:rPr>
        <w:t xml:space="preserve"> and identifying how </w:t>
      </w:r>
      <w:r w:rsidR="009640B8">
        <w:rPr>
          <w:rFonts w:ascii="Calibri" w:eastAsia="Calibri" w:hAnsi="Calibri" w:cs="Calibri"/>
          <w:sz w:val="22"/>
          <w:szCs w:val="22"/>
        </w:rPr>
        <w:t>regional office</w:t>
      </w:r>
      <w:r w:rsidR="002706BF">
        <w:rPr>
          <w:rFonts w:ascii="Calibri" w:eastAsia="Calibri" w:hAnsi="Calibri" w:cs="Calibri"/>
          <w:sz w:val="22"/>
          <w:szCs w:val="22"/>
        </w:rPr>
        <w:t>s</w:t>
      </w:r>
      <w:r w:rsidR="009640B8">
        <w:rPr>
          <w:rFonts w:ascii="Calibri" w:eastAsia="Calibri" w:hAnsi="Calibri" w:cs="Calibri"/>
          <w:sz w:val="22"/>
          <w:szCs w:val="22"/>
        </w:rPr>
        <w:t xml:space="preserve"> (RO</w:t>
      </w:r>
      <w:r w:rsidR="002706BF">
        <w:rPr>
          <w:rFonts w:ascii="Calibri" w:eastAsia="Calibri" w:hAnsi="Calibri" w:cs="Calibri"/>
          <w:sz w:val="22"/>
          <w:szCs w:val="22"/>
        </w:rPr>
        <w:t>s</w:t>
      </w:r>
      <w:r w:rsidR="009640B8">
        <w:rPr>
          <w:rFonts w:ascii="Calibri" w:eastAsia="Calibri" w:hAnsi="Calibri" w:cs="Calibri"/>
          <w:sz w:val="22"/>
          <w:szCs w:val="22"/>
        </w:rPr>
        <w:t xml:space="preserve">), state </w:t>
      </w:r>
      <w:r w:rsidR="0074753D">
        <w:rPr>
          <w:rFonts w:ascii="Calibri" w:eastAsia="Calibri" w:hAnsi="Calibri" w:cs="Calibri"/>
          <w:sz w:val="22"/>
          <w:szCs w:val="22"/>
        </w:rPr>
        <w:t>agenc</w:t>
      </w:r>
      <w:r w:rsidR="002706BF">
        <w:rPr>
          <w:rFonts w:ascii="Calibri" w:eastAsia="Calibri" w:hAnsi="Calibri" w:cs="Calibri"/>
          <w:sz w:val="22"/>
          <w:szCs w:val="22"/>
        </w:rPr>
        <w:t>ies</w:t>
      </w:r>
      <w:r w:rsidR="009640B8">
        <w:rPr>
          <w:rFonts w:ascii="Calibri" w:eastAsia="Calibri" w:hAnsi="Calibri" w:cs="Calibri"/>
          <w:sz w:val="22"/>
          <w:szCs w:val="22"/>
        </w:rPr>
        <w:t xml:space="preserve"> (SA</w:t>
      </w:r>
      <w:r w:rsidR="002706BF">
        <w:rPr>
          <w:rFonts w:ascii="Calibri" w:eastAsia="Calibri" w:hAnsi="Calibri" w:cs="Calibri"/>
          <w:sz w:val="22"/>
          <w:szCs w:val="22"/>
        </w:rPr>
        <w:t>s</w:t>
      </w:r>
      <w:r w:rsidR="009640B8">
        <w:rPr>
          <w:rFonts w:ascii="Calibri" w:eastAsia="Calibri" w:hAnsi="Calibri" w:cs="Calibri"/>
          <w:sz w:val="22"/>
          <w:szCs w:val="22"/>
        </w:rPr>
        <w:t>), or accreditation organization</w:t>
      </w:r>
      <w:r w:rsidR="002706BF">
        <w:rPr>
          <w:rFonts w:ascii="Calibri" w:eastAsia="Calibri" w:hAnsi="Calibri" w:cs="Calibri"/>
          <w:sz w:val="22"/>
          <w:szCs w:val="22"/>
        </w:rPr>
        <w:t>s</w:t>
      </w:r>
      <w:r w:rsidR="009640B8">
        <w:rPr>
          <w:rFonts w:ascii="Calibri" w:eastAsia="Calibri" w:hAnsi="Calibri" w:cs="Calibri"/>
          <w:sz w:val="22"/>
          <w:szCs w:val="22"/>
        </w:rPr>
        <w:t xml:space="preserve"> (AO</w:t>
      </w:r>
      <w:r w:rsidR="002706BF">
        <w:rPr>
          <w:rFonts w:ascii="Calibri" w:eastAsia="Calibri" w:hAnsi="Calibri" w:cs="Calibri"/>
          <w:sz w:val="22"/>
          <w:szCs w:val="22"/>
        </w:rPr>
        <w:t>s</w:t>
      </w:r>
      <w:r w:rsidR="008C4B92">
        <w:rPr>
          <w:rFonts w:ascii="Calibri" w:eastAsia="Calibri" w:hAnsi="Calibri" w:cs="Calibri"/>
          <w:sz w:val="22"/>
          <w:szCs w:val="22"/>
        </w:rPr>
        <w:t xml:space="preserve">) </w:t>
      </w:r>
      <w:r w:rsidR="002706BF">
        <w:rPr>
          <w:rFonts w:ascii="Calibri" w:eastAsia="Calibri" w:hAnsi="Calibri" w:cs="Calibri"/>
          <w:sz w:val="22"/>
          <w:szCs w:val="22"/>
        </w:rPr>
        <w:t>will be held accountable for</w:t>
      </w:r>
      <w:r w:rsidR="0074753D">
        <w:rPr>
          <w:rFonts w:ascii="Calibri" w:eastAsia="Calibri" w:hAnsi="Calibri" w:cs="Calibri"/>
          <w:sz w:val="22"/>
          <w:szCs w:val="22"/>
        </w:rPr>
        <w:t xml:space="preserve"> meeting </w:t>
      </w:r>
      <w:r w:rsidR="002706BF">
        <w:rPr>
          <w:rFonts w:ascii="Calibri" w:eastAsia="Calibri" w:hAnsi="Calibri" w:cs="Calibri"/>
          <w:sz w:val="22"/>
          <w:szCs w:val="22"/>
        </w:rPr>
        <w:t>the deadlines by which they must respond</w:t>
      </w:r>
      <w:r w:rsidR="003D52F4">
        <w:rPr>
          <w:rFonts w:ascii="Calibri" w:eastAsia="Calibri" w:hAnsi="Calibri" w:cs="Calibri"/>
          <w:sz w:val="22"/>
          <w:szCs w:val="22"/>
        </w:rPr>
        <w:t xml:space="preserve"> to hospitals</w:t>
      </w:r>
      <w:r w:rsidR="004041A6">
        <w:rPr>
          <w:rFonts w:ascii="Calibri" w:eastAsia="Calibri" w:hAnsi="Calibri" w:cs="Calibri"/>
          <w:sz w:val="22"/>
          <w:szCs w:val="22"/>
        </w:rPr>
        <w:t xml:space="preserve"> or submit requests to ROs</w:t>
      </w:r>
      <w:r w:rsidR="0074753D">
        <w:rPr>
          <w:rFonts w:ascii="Calibri" w:eastAsia="Calibri" w:hAnsi="Calibri" w:cs="Calibri"/>
          <w:sz w:val="22"/>
          <w:szCs w:val="22"/>
        </w:rPr>
        <w:t xml:space="preserve">. </w:t>
      </w:r>
    </w:p>
    <w:p w14:paraId="2A0770C7" w14:textId="0B69C560" w:rsidR="003B26A4" w:rsidRDefault="003B26A4" w:rsidP="003B26A4">
      <w:pPr>
        <w:pStyle w:val="ListParagraph"/>
        <w:numPr>
          <w:ilvl w:val="0"/>
          <w:numId w:val="7"/>
        </w:numPr>
        <w:rPr>
          <w:rFonts w:ascii="Calibri" w:eastAsia="Calibri" w:hAnsi="Calibri" w:cs="Calibri"/>
          <w:sz w:val="22"/>
          <w:szCs w:val="22"/>
        </w:rPr>
      </w:pPr>
      <w:r w:rsidRPr="003B26A4">
        <w:rPr>
          <w:rFonts w:ascii="Calibri" w:eastAsia="Calibri" w:hAnsi="Calibri" w:cs="Calibri"/>
          <w:sz w:val="22"/>
          <w:szCs w:val="22"/>
        </w:rPr>
        <w:t xml:space="preserve">CHA urges </w:t>
      </w:r>
      <w:r w:rsidR="0049520D">
        <w:rPr>
          <w:rFonts w:ascii="Calibri" w:eastAsia="Calibri" w:hAnsi="Calibri" w:cs="Calibri"/>
          <w:sz w:val="22"/>
          <w:szCs w:val="22"/>
        </w:rPr>
        <w:t xml:space="preserve">CMS to put forward additional </w:t>
      </w:r>
      <w:r w:rsidRPr="003B26A4">
        <w:rPr>
          <w:rFonts w:ascii="Calibri" w:eastAsia="Calibri" w:hAnsi="Calibri" w:cs="Calibri"/>
          <w:sz w:val="22"/>
          <w:szCs w:val="22"/>
        </w:rPr>
        <w:t xml:space="preserve">surveyor education on this guidance to ensure </w:t>
      </w:r>
      <w:r w:rsidR="002706BF">
        <w:rPr>
          <w:rFonts w:ascii="Calibri" w:eastAsia="Calibri" w:hAnsi="Calibri" w:cs="Calibri"/>
          <w:sz w:val="22"/>
          <w:szCs w:val="22"/>
        </w:rPr>
        <w:t xml:space="preserve">requirements are </w:t>
      </w:r>
      <w:r w:rsidRPr="003B26A4">
        <w:rPr>
          <w:rFonts w:ascii="Calibri" w:eastAsia="Calibri" w:hAnsi="Calibri" w:cs="Calibri"/>
          <w:sz w:val="22"/>
          <w:szCs w:val="22"/>
        </w:rPr>
        <w:t>consistent</w:t>
      </w:r>
      <w:r w:rsidR="002706BF">
        <w:rPr>
          <w:rFonts w:ascii="Calibri" w:eastAsia="Calibri" w:hAnsi="Calibri" w:cs="Calibri"/>
          <w:sz w:val="22"/>
          <w:szCs w:val="22"/>
        </w:rPr>
        <w:t>ly</w:t>
      </w:r>
      <w:r w:rsidRPr="003B26A4">
        <w:rPr>
          <w:rFonts w:ascii="Calibri" w:eastAsia="Calibri" w:hAnsi="Calibri" w:cs="Calibri"/>
          <w:sz w:val="22"/>
          <w:szCs w:val="22"/>
        </w:rPr>
        <w:t xml:space="preserve"> and effective</w:t>
      </w:r>
      <w:r w:rsidR="002706BF">
        <w:rPr>
          <w:rFonts w:ascii="Calibri" w:eastAsia="Calibri" w:hAnsi="Calibri" w:cs="Calibri"/>
          <w:sz w:val="22"/>
          <w:szCs w:val="22"/>
        </w:rPr>
        <w:t>ly</w:t>
      </w:r>
      <w:r w:rsidRPr="003B26A4">
        <w:rPr>
          <w:rFonts w:ascii="Calibri" w:eastAsia="Calibri" w:hAnsi="Calibri" w:cs="Calibri"/>
          <w:sz w:val="22"/>
          <w:szCs w:val="22"/>
        </w:rPr>
        <w:t xml:space="preserve"> interpret</w:t>
      </w:r>
      <w:r w:rsidR="002706BF">
        <w:rPr>
          <w:rFonts w:ascii="Calibri" w:eastAsia="Calibri" w:hAnsi="Calibri" w:cs="Calibri"/>
          <w:sz w:val="22"/>
          <w:szCs w:val="22"/>
        </w:rPr>
        <w:t>ed</w:t>
      </w:r>
      <w:r w:rsidRPr="003B26A4">
        <w:rPr>
          <w:rFonts w:ascii="Calibri" w:eastAsia="Calibri" w:hAnsi="Calibri" w:cs="Calibri"/>
          <w:sz w:val="22"/>
          <w:szCs w:val="22"/>
        </w:rPr>
        <w:t>.</w:t>
      </w:r>
      <w:r w:rsidR="005A12A1">
        <w:rPr>
          <w:rFonts w:ascii="Calibri" w:eastAsia="Calibri" w:hAnsi="Calibri" w:cs="Calibri"/>
          <w:sz w:val="22"/>
          <w:szCs w:val="22"/>
        </w:rPr>
        <w:t xml:space="preserve"> Such education should be required of surveyors prior to assessment of hospitals,</w:t>
      </w:r>
      <w:r w:rsidR="002706BF">
        <w:rPr>
          <w:rFonts w:ascii="Calibri" w:eastAsia="Calibri" w:hAnsi="Calibri" w:cs="Calibri"/>
          <w:sz w:val="22"/>
          <w:szCs w:val="22"/>
        </w:rPr>
        <w:t xml:space="preserve"> mirroring </w:t>
      </w:r>
      <w:r w:rsidR="005A12A1">
        <w:rPr>
          <w:rFonts w:ascii="Calibri" w:eastAsia="Calibri" w:hAnsi="Calibri" w:cs="Calibri"/>
          <w:sz w:val="22"/>
          <w:szCs w:val="22"/>
        </w:rPr>
        <w:t>CMS</w:t>
      </w:r>
      <w:r w:rsidR="002706BF">
        <w:rPr>
          <w:rFonts w:ascii="Calibri" w:eastAsia="Calibri" w:hAnsi="Calibri" w:cs="Calibri"/>
          <w:sz w:val="22"/>
          <w:szCs w:val="22"/>
        </w:rPr>
        <w:t>’ request that</w:t>
      </w:r>
      <w:r w:rsidR="005A12A1">
        <w:rPr>
          <w:rFonts w:ascii="Calibri" w:eastAsia="Calibri" w:hAnsi="Calibri" w:cs="Calibri"/>
          <w:sz w:val="22"/>
          <w:szCs w:val="22"/>
        </w:rPr>
        <w:t xml:space="preserve"> hospitals train all employees o</w:t>
      </w:r>
      <w:r w:rsidR="002706BF">
        <w:rPr>
          <w:rFonts w:ascii="Calibri" w:eastAsia="Calibri" w:hAnsi="Calibri" w:cs="Calibri"/>
          <w:sz w:val="22"/>
          <w:szCs w:val="22"/>
        </w:rPr>
        <w:t>n</w:t>
      </w:r>
      <w:r w:rsidR="005A12A1">
        <w:rPr>
          <w:rFonts w:ascii="Calibri" w:eastAsia="Calibri" w:hAnsi="Calibri" w:cs="Calibri"/>
          <w:sz w:val="22"/>
          <w:szCs w:val="22"/>
        </w:rPr>
        <w:t xml:space="preserve"> relevant policies and procedures. </w:t>
      </w:r>
      <w:r w:rsidR="00C152E6">
        <w:rPr>
          <w:rFonts w:ascii="Calibri" w:eastAsia="Calibri" w:hAnsi="Calibri" w:cs="Calibri"/>
          <w:sz w:val="22"/>
          <w:szCs w:val="22"/>
        </w:rPr>
        <w:t xml:space="preserve">CHA also urges CMS to work with stakeholders to develop </w:t>
      </w:r>
      <w:r w:rsidR="005A12A1">
        <w:rPr>
          <w:rFonts w:ascii="Calibri" w:eastAsia="Calibri" w:hAnsi="Calibri" w:cs="Calibri"/>
          <w:sz w:val="22"/>
          <w:szCs w:val="22"/>
        </w:rPr>
        <w:t xml:space="preserve">and publish </w:t>
      </w:r>
      <w:r w:rsidR="00C152E6">
        <w:rPr>
          <w:rFonts w:ascii="Calibri" w:eastAsia="Calibri" w:hAnsi="Calibri" w:cs="Calibri"/>
          <w:sz w:val="22"/>
          <w:szCs w:val="22"/>
        </w:rPr>
        <w:t xml:space="preserve">a standardized surveyor tool to improve </w:t>
      </w:r>
      <w:r w:rsidR="00097C52">
        <w:rPr>
          <w:rFonts w:ascii="Calibri" w:eastAsia="Calibri" w:hAnsi="Calibri" w:cs="Calibri"/>
          <w:sz w:val="22"/>
          <w:szCs w:val="22"/>
        </w:rPr>
        <w:t>consistency</w:t>
      </w:r>
      <w:r w:rsidR="0049520D">
        <w:rPr>
          <w:rFonts w:ascii="Calibri" w:eastAsia="Calibri" w:hAnsi="Calibri" w:cs="Calibri"/>
          <w:sz w:val="22"/>
          <w:szCs w:val="22"/>
        </w:rPr>
        <w:t xml:space="preserve"> in the standards</w:t>
      </w:r>
      <w:r w:rsidR="002706BF">
        <w:rPr>
          <w:rFonts w:ascii="Calibri" w:eastAsia="Calibri" w:hAnsi="Calibri" w:cs="Calibri"/>
          <w:sz w:val="22"/>
          <w:szCs w:val="22"/>
        </w:rPr>
        <w:t>’ application</w:t>
      </w:r>
      <w:r w:rsidR="00097C52">
        <w:rPr>
          <w:rFonts w:ascii="Calibri" w:eastAsia="Calibri" w:hAnsi="Calibri" w:cs="Calibri"/>
          <w:sz w:val="22"/>
          <w:szCs w:val="22"/>
        </w:rPr>
        <w:t>.</w:t>
      </w:r>
    </w:p>
    <w:p w14:paraId="62ECA353" w14:textId="325AF231" w:rsidR="003B26A4" w:rsidRPr="00357875" w:rsidRDefault="003B26A4" w:rsidP="003B26A4">
      <w:pPr>
        <w:pStyle w:val="ListParagraph"/>
        <w:numPr>
          <w:ilvl w:val="0"/>
          <w:numId w:val="5"/>
        </w:numPr>
        <w:rPr>
          <w:rFonts w:ascii="Calibri" w:eastAsia="Calibri" w:hAnsi="Calibri" w:cs="Calibri"/>
          <w:sz w:val="22"/>
          <w:szCs w:val="22"/>
        </w:rPr>
      </w:pPr>
      <w:r w:rsidRPr="00357875">
        <w:rPr>
          <w:rFonts w:ascii="Calibri" w:eastAsia="Calibri" w:hAnsi="Calibri" w:cs="Calibri"/>
          <w:sz w:val="22"/>
          <w:szCs w:val="22"/>
        </w:rPr>
        <w:t xml:space="preserve">CHA requests additional examples </w:t>
      </w:r>
      <w:r w:rsidR="008C4B92">
        <w:rPr>
          <w:rFonts w:ascii="Calibri" w:eastAsia="Calibri" w:hAnsi="Calibri" w:cs="Calibri"/>
          <w:sz w:val="22"/>
          <w:szCs w:val="22"/>
        </w:rPr>
        <w:t xml:space="preserve">and clarifications </w:t>
      </w:r>
      <w:r w:rsidRPr="00357875">
        <w:rPr>
          <w:rFonts w:ascii="Calibri" w:eastAsia="Calibri" w:hAnsi="Calibri" w:cs="Calibri"/>
          <w:sz w:val="22"/>
          <w:szCs w:val="22"/>
        </w:rPr>
        <w:t xml:space="preserve">to assist surveyors and advise the field </w:t>
      </w:r>
      <w:r w:rsidR="008C4B92">
        <w:rPr>
          <w:rFonts w:ascii="Calibri" w:eastAsia="Calibri" w:hAnsi="Calibri" w:cs="Calibri"/>
          <w:sz w:val="22"/>
          <w:szCs w:val="22"/>
        </w:rPr>
        <w:t xml:space="preserve">on </w:t>
      </w:r>
      <w:r w:rsidRPr="00357875">
        <w:rPr>
          <w:rFonts w:ascii="Calibri" w:eastAsia="Calibri" w:hAnsi="Calibri" w:cs="Calibri"/>
          <w:sz w:val="22"/>
          <w:szCs w:val="22"/>
        </w:rPr>
        <w:t xml:space="preserve">measures that can be taken for </w:t>
      </w:r>
      <w:r w:rsidR="00CD1CF3" w:rsidRPr="00357875">
        <w:rPr>
          <w:rFonts w:ascii="Calibri" w:eastAsia="Calibri" w:hAnsi="Calibri" w:cs="Calibri"/>
          <w:sz w:val="22"/>
          <w:szCs w:val="22"/>
        </w:rPr>
        <w:t>protecti</w:t>
      </w:r>
      <w:r w:rsidR="00CD1CF3">
        <w:rPr>
          <w:rFonts w:ascii="Calibri" w:eastAsia="Calibri" w:hAnsi="Calibri" w:cs="Calibri"/>
          <w:sz w:val="22"/>
          <w:szCs w:val="22"/>
        </w:rPr>
        <w:t>ng</w:t>
      </w:r>
      <w:r w:rsidR="00CD1CF3" w:rsidRPr="00357875">
        <w:rPr>
          <w:rFonts w:ascii="Calibri" w:eastAsia="Calibri" w:hAnsi="Calibri" w:cs="Calibri"/>
          <w:sz w:val="22"/>
          <w:szCs w:val="22"/>
        </w:rPr>
        <w:t xml:space="preserve"> </w:t>
      </w:r>
      <w:r w:rsidRPr="00357875">
        <w:rPr>
          <w:rFonts w:ascii="Calibri" w:eastAsia="Calibri" w:hAnsi="Calibri" w:cs="Calibri"/>
          <w:sz w:val="22"/>
          <w:szCs w:val="22"/>
        </w:rPr>
        <w:t>patient safety in areas not subject to the ligature resistant requirement</w:t>
      </w:r>
      <w:r w:rsidR="00331B26">
        <w:rPr>
          <w:rFonts w:ascii="Calibri" w:eastAsia="Calibri" w:hAnsi="Calibri" w:cs="Calibri"/>
          <w:sz w:val="22"/>
          <w:szCs w:val="22"/>
        </w:rPr>
        <w:t>s</w:t>
      </w:r>
      <w:r w:rsidRPr="00357875">
        <w:rPr>
          <w:rFonts w:ascii="Calibri" w:eastAsia="Calibri" w:hAnsi="Calibri" w:cs="Calibri"/>
          <w:sz w:val="22"/>
          <w:szCs w:val="22"/>
        </w:rPr>
        <w:t xml:space="preserve">.  </w:t>
      </w:r>
    </w:p>
    <w:p w14:paraId="09D737E5" w14:textId="65300073" w:rsidR="005A12A1" w:rsidRDefault="005A12A1" w:rsidP="005A12A1">
      <w:pPr>
        <w:ind w:left="360"/>
        <w:rPr>
          <w:rFonts w:ascii="Calibri" w:eastAsia="Calibri" w:hAnsi="Calibri" w:cs="Calibri"/>
          <w:sz w:val="22"/>
          <w:szCs w:val="22"/>
          <w:highlight w:val="yellow"/>
        </w:rPr>
      </w:pPr>
    </w:p>
    <w:p w14:paraId="7D8E220D" w14:textId="29BC7867" w:rsidR="005A12A1" w:rsidRDefault="005A12A1" w:rsidP="009C7863">
      <w:pPr>
        <w:rPr>
          <w:rFonts w:ascii="Calibri" w:eastAsia="Calibri" w:hAnsi="Calibri" w:cs="Calibri"/>
          <w:sz w:val="22"/>
          <w:szCs w:val="22"/>
          <w:highlight w:val="yellow"/>
        </w:rPr>
      </w:pPr>
      <w:r w:rsidRPr="005A12A1">
        <w:rPr>
          <w:rFonts w:ascii="Calibri" w:eastAsia="Calibri" w:hAnsi="Calibri" w:cs="Calibri"/>
          <w:sz w:val="22"/>
          <w:szCs w:val="22"/>
        </w:rPr>
        <w:t>Our detailed comments are below</w:t>
      </w:r>
      <w:r w:rsidRPr="009C7863">
        <w:rPr>
          <w:rFonts w:ascii="Calibri" w:eastAsia="Calibri" w:hAnsi="Calibri" w:cs="Calibri"/>
          <w:sz w:val="22"/>
          <w:szCs w:val="22"/>
        </w:rPr>
        <w:t xml:space="preserve">. </w:t>
      </w:r>
    </w:p>
    <w:p w14:paraId="3E63CF46" w14:textId="77777777" w:rsidR="005A12A1" w:rsidRPr="005A12A1" w:rsidRDefault="005A12A1" w:rsidP="005A12A1">
      <w:pPr>
        <w:ind w:left="360"/>
        <w:rPr>
          <w:rFonts w:ascii="Calibri" w:eastAsia="Calibri" w:hAnsi="Calibri" w:cs="Calibri"/>
          <w:sz w:val="22"/>
          <w:szCs w:val="22"/>
          <w:highlight w:val="yellow"/>
        </w:rPr>
      </w:pPr>
    </w:p>
    <w:p w14:paraId="2BC00840" w14:textId="7E5C1443" w:rsidR="00CE2BF9" w:rsidRDefault="00CE2BF9" w:rsidP="005345CD">
      <w:pPr>
        <w:rPr>
          <w:rFonts w:asciiTheme="minorHAnsi" w:hAnsiTheme="minorHAnsi" w:cs="Calibri"/>
          <w:b/>
          <w:bCs/>
          <w:smallCaps/>
          <w:szCs w:val="24"/>
        </w:rPr>
      </w:pPr>
      <w:r w:rsidRPr="00CE2BF9">
        <w:rPr>
          <w:rFonts w:asciiTheme="minorHAnsi" w:hAnsiTheme="minorHAnsi" w:cs="Calibri"/>
          <w:b/>
          <w:bCs/>
          <w:smallCaps/>
          <w:szCs w:val="24"/>
        </w:rPr>
        <w:t xml:space="preserve">CMS SOM Appendix A for Hospitals </w:t>
      </w:r>
    </w:p>
    <w:p w14:paraId="059C0234" w14:textId="260F8229" w:rsidR="005C4663" w:rsidRDefault="0080212E" w:rsidP="005345CD">
      <w:pPr>
        <w:rPr>
          <w:rFonts w:ascii="Calibri" w:eastAsia="Calibri" w:hAnsi="Calibri" w:cs="Calibri"/>
          <w:sz w:val="22"/>
          <w:szCs w:val="22"/>
        </w:rPr>
      </w:pPr>
      <w:r>
        <w:rPr>
          <w:rFonts w:ascii="Calibri" w:eastAsia="Calibri" w:hAnsi="Calibri" w:cs="Calibri"/>
          <w:sz w:val="22"/>
          <w:szCs w:val="22"/>
        </w:rPr>
        <w:t xml:space="preserve">In its draft guidance, </w:t>
      </w:r>
      <w:r w:rsidR="005C4663">
        <w:rPr>
          <w:rFonts w:ascii="Calibri" w:eastAsia="Calibri" w:hAnsi="Calibri" w:cs="Calibri"/>
          <w:sz w:val="22"/>
          <w:szCs w:val="22"/>
        </w:rPr>
        <w:t>CMS c</w:t>
      </w:r>
      <w:r w:rsidR="005C4663" w:rsidRPr="005C4663">
        <w:rPr>
          <w:rFonts w:ascii="Calibri" w:eastAsia="Calibri" w:hAnsi="Calibri" w:cs="Calibri"/>
          <w:sz w:val="22"/>
          <w:szCs w:val="22"/>
        </w:rPr>
        <w:t>larifies existing 2017 ligature risk interpretive guidelines</w:t>
      </w:r>
      <w:r w:rsidR="005C4663">
        <w:rPr>
          <w:rFonts w:ascii="Calibri" w:eastAsia="Calibri" w:hAnsi="Calibri" w:cs="Calibri"/>
          <w:sz w:val="22"/>
          <w:szCs w:val="22"/>
        </w:rPr>
        <w:t xml:space="preserve">. This includes a differentiation between </w:t>
      </w:r>
      <w:r w:rsidR="005C4663" w:rsidRPr="005C4663">
        <w:rPr>
          <w:rFonts w:ascii="Calibri" w:eastAsia="Calibri" w:hAnsi="Calibri" w:cs="Calibri"/>
          <w:sz w:val="22"/>
          <w:szCs w:val="22"/>
        </w:rPr>
        <w:t>locked and unlocked psychiatric units</w:t>
      </w:r>
      <w:r w:rsidR="005C4663">
        <w:rPr>
          <w:rFonts w:ascii="Calibri" w:eastAsia="Calibri" w:hAnsi="Calibri" w:cs="Calibri"/>
          <w:sz w:val="22"/>
          <w:szCs w:val="22"/>
        </w:rPr>
        <w:t>, requiring</w:t>
      </w:r>
      <w:r w:rsidR="005C4663" w:rsidRPr="005C4663">
        <w:rPr>
          <w:rFonts w:ascii="Calibri" w:eastAsia="Calibri" w:hAnsi="Calibri" w:cs="Calibri"/>
          <w:sz w:val="22"/>
          <w:szCs w:val="22"/>
        </w:rPr>
        <w:t xml:space="preserve"> education and training for hospital staf</w:t>
      </w:r>
      <w:r w:rsidR="005C4663">
        <w:rPr>
          <w:rFonts w:ascii="Calibri" w:eastAsia="Calibri" w:hAnsi="Calibri" w:cs="Calibri"/>
          <w:sz w:val="22"/>
          <w:szCs w:val="22"/>
        </w:rPr>
        <w:t xml:space="preserve">f, and revising </w:t>
      </w:r>
      <w:r w:rsidR="005C4663" w:rsidRPr="005C4663">
        <w:rPr>
          <w:rFonts w:ascii="Calibri" w:eastAsia="Calibri" w:hAnsi="Calibri" w:cs="Calibri"/>
          <w:sz w:val="22"/>
          <w:szCs w:val="22"/>
        </w:rPr>
        <w:t>surveyor procedures</w:t>
      </w:r>
      <w:r w:rsidR="005C4663">
        <w:rPr>
          <w:rFonts w:ascii="Calibri" w:eastAsia="Calibri" w:hAnsi="Calibri" w:cs="Calibri"/>
          <w:sz w:val="22"/>
          <w:szCs w:val="22"/>
        </w:rPr>
        <w:t xml:space="preserve">. </w:t>
      </w:r>
    </w:p>
    <w:p w14:paraId="5360BB11" w14:textId="40F567D2" w:rsidR="005C4663" w:rsidRDefault="005C4663" w:rsidP="005345CD">
      <w:pPr>
        <w:rPr>
          <w:rFonts w:ascii="Calibri" w:eastAsia="Calibri" w:hAnsi="Calibri" w:cs="Calibri"/>
          <w:sz w:val="22"/>
          <w:szCs w:val="22"/>
        </w:rPr>
      </w:pPr>
    </w:p>
    <w:p w14:paraId="219CCBAB" w14:textId="2D825B6E" w:rsidR="005C4663" w:rsidRDefault="00331B26" w:rsidP="005345CD">
      <w:pPr>
        <w:rPr>
          <w:rFonts w:ascii="Calibri" w:eastAsia="Calibri" w:hAnsi="Calibri" w:cs="Calibri"/>
          <w:i/>
          <w:iCs/>
          <w:sz w:val="22"/>
          <w:szCs w:val="22"/>
        </w:rPr>
      </w:pPr>
      <w:r>
        <w:rPr>
          <w:rFonts w:ascii="Calibri" w:eastAsia="Calibri" w:hAnsi="Calibri" w:cs="Calibri"/>
          <w:i/>
          <w:iCs/>
          <w:sz w:val="22"/>
          <w:szCs w:val="22"/>
        </w:rPr>
        <w:t xml:space="preserve">Clarify Application to </w:t>
      </w:r>
      <w:r w:rsidR="005C4663">
        <w:rPr>
          <w:rFonts w:ascii="Calibri" w:eastAsia="Calibri" w:hAnsi="Calibri" w:cs="Calibri"/>
          <w:i/>
          <w:iCs/>
          <w:sz w:val="22"/>
          <w:szCs w:val="22"/>
        </w:rPr>
        <w:t>Emergency Department</w:t>
      </w:r>
      <w:r>
        <w:rPr>
          <w:rFonts w:ascii="Calibri" w:eastAsia="Calibri" w:hAnsi="Calibri" w:cs="Calibri"/>
          <w:i/>
          <w:iCs/>
          <w:sz w:val="22"/>
          <w:szCs w:val="22"/>
        </w:rPr>
        <w:t>s</w:t>
      </w:r>
    </w:p>
    <w:p w14:paraId="4B12631F" w14:textId="27C8F542" w:rsidR="0049520D" w:rsidRDefault="00331B26" w:rsidP="00A42E7E">
      <w:pPr>
        <w:rPr>
          <w:rFonts w:ascii="Calibri" w:eastAsia="Calibri" w:hAnsi="Calibri" w:cs="Calibri"/>
          <w:sz w:val="22"/>
          <w:szCs w:val="22"/>
        </w:rPr>
      </w:pPr>
      <w:r>
        <w:rPr>
          <w:rFonts w:ascii="Calibri" w:eastAsia="Calibri" w:hAnsi="Calibri" w:cs="Calibri"/>
          <w:sz w:val="22"/>
          <w:szCs w:val="22"/>
        </w:rPr>
        <w:t>According to the</w:t>
      </w:r>
      <w:r w:rsidR="005C4663">
        <w:rPr>
          <w:rFonts w:ascii="Calibri" w:eastAsia="Calibri" w:hAnsi="Calibri" w:cs="Calibri"/>
          <w:sz w:val="22"/>
          <w:szCs w:val="22"/>
        </w:rPr>
        <w:t xml:space="preserve"> revised guidance</w:t>
      </w:r>
      <w:r>
        <w:rPr>
          <w:rFonts w:ascii="Calibri" w:eastAsia="Calibri" w:hAnsi="Calibri" w:cs="Calibri"/>
          <w:sz w:val="22"/>
          <w:szCs w:val="22"/>
        </w:rPr>
        <w:t>,</w:t>
      </w:r>
      <w:r w:rsidR="005C4663">
        <w:rPr>
          <w:rFonts w:ascii="Calibri" w:eastAsia="Calibri" w:hAnsi="Calibri" w:cs="Calibri"/>
          <w:sz w:val="22"/>
          <w:szCs w:val="22"/>
        </w:rPr>
        <w:t xml:space="preserve"> the l</w:t>
      </w:r>
      <w:r w:rsidR="005C4663" w:rsidRPr="005C4663">
        <w:rPr>
          <w:rFonts w:ascii="Calibri" w:eastAsia="Calibri" w:hAnsi="Calibri" w:cs="Calibri"/>
          <w:sz w:val="22"/>
          <w:szCs w:val="22"/>
        </w:rPr>
        <w:t>igature resistant requirement applies to</w:t>
      </w:r>
      <w:r w:rsidR="005C4663">
        <w:rPr>
          <w:rFonts w:ascii="Calibri" w:eastAsia="Calibri" w:hAnsi="Calibri" w:cs="Calibri"/>
          <w:sz w:val="22"/>
          <w:szCs w:val="22"/>
        </w:rPr>
        <w:t xml:space="preserve"> l</w:t>
      </w:r>
      <w:r w:rsidR="005C4663" w:rsidRPr="005C4663">
        <w:rPr>
          <w:rFonts w:ascii="Calibri" w:eastAsia="Calibri" w:hAnsi="Calibri" w:cs="Calibri"/>
          <w:sz w:val="22"/>
          <w:szCs w:val="22"/>
        </w:rPr>
        <w:t>ocked psychiatric units within psychiatric hospitals</w:t>
      </w:r>
      <w:r w:rsidR="00097C52">
        <w:rPr>
          <w:rFonts w:ascii="Calibri" w:eastAsia="Calibri" w:hAnsi="Calibri" w:cs="Calibri"/>
          <w:sz w:val="22"/>
          <w:szCs w:val="22"/>
        </w:rPr>
        <w:t xml:space="preserve"> and</w:t>
      </w:r>
      <w:r w:rsidR="005C4663">
        <w:rPr>
          <w:rFonts w:ascii="Calibri" w:eastAsia="Calibri" w:hAnsi="Calibri" w:cs="Calibri"/>
          <w:sz w:val="22"/>
          <w:szCs w:val="22"/>
        </w:rPr>
        <w:t xml:space="preserve"> </w:t>
      </w:r>
      <w:r w:rsidR="005C4663" w:rsidRPr="005C4663">
        <w:rPr>
          <w:rFonts w:ascii="Calibri" w:eastAsia="Calibri" w:hAnsi="Calibri" w:cs="Calibri"/>
          <w:sz w:val="22"/>
          <w:szCs w:val="22"/>
        </w:rPr>
        <w:t>acute care hospitals</w:t>
      </w:r>
      <w:r w:rsidR="005C4663">
        <w:rPr>
          <w:rFonts w:ascii="Calibri" w:eastAsia="Calibri" w:hAnsi="Calibri" w:cs="Calibri"/>
          <w:sz w:val="22"/>
          <w:szCs w:val="22"/>
        </w:rPr>
        <w:t xml:space="preserve">, </w:t>
      </w:r>
      <w:r w:rsidR="00A82128">
        <w:rPr>
          <w:rFonts w:ascii="Calibri" w:eastAsia="Calibri" w:hAnsi="Calibri" w:cs="Calibri"/>
          <w:sz w:val="22"/>
          <w:szCs w:val="22"/>
        </w:rPr>
        <w:t>including locked emergency department psychiatric units</w:t>
      </w:r>
      <w:r w:rsidR="00A42E7E">
        <w:rPr>
          <w:rFonts w:ascii="Calibri" w:eastAsia="Calibri" w:hAnsi="Calibri" w:cs="Calibri"/>
          <w:sz w:val="22"/>
          <w:szCs w:val="22"/>
        </w:rPr>
        <w:t xml:space="preserve">. The guidance further states that the </w:t>
      </w:r>
      <w:r w:rsidR="00A42E7E" w:rsidRPr="00A42E7E">
        <w:rPr>
          <w:rFonts w:ascii="Calibri" w:eastAsia="Calibri" w:hAnsi="Calibri" w:cs="Calibri"/>
          <w:sz w:val="22"/>
          <w:szCs w:val="22"/>
        </w:rPr>
        <w:t>ligature resistant requirements do not apply to non-psychiatric units of hospitals</w:t>
      </w:r>
      <w:r w:rsidR="007A5F60">
        <w:rPr>
          <w:rFonts w:ascii="Calibri" w:eastAsia="Calibri" w:hAnsi="Calibri" w:cs="Calibri"/>
          <w:sz w:val="22"/>
          <w:szCs w:val="22"/>
        </w:rPr>
        <w:t xml:space="preserve"> (</w:t>
      </w:r>
      <w:r w:rsidR="007A5F60" w:rsidRPr="00A42E7E">
        <w:rPr>
          <w:rFonts w:ascii="Calibri" w:eastAsia="Calibri" w:hAnsi="Calibri" w:cs="Calibri"/>
          <w:sz w:val="22"/>
          <w:szCs w:val="22"/>
        </w:rPr>
        <w:t>e.g.</w:t>
      </w:r>
      <w:r w:rsidR="001832E5">
        <w:rPr>
          <w:rFonts w:ascii="Calibri" w:eastAsia="Calibri" w:hAnsi="Calibri" w:cs="Calibri"/>
          <w:sz w:val="22"/>
          <w:szCs w:val="22"/>
        </w:rPr>
        <w:t>,</w:t>
      </w:r>
      <w:r w:rsidR="007A5F60" w:rsidRPr="00A42E7E">
        <w:rPr>
          <w:rFonts w:ascii="Calibri" w:eastAsia="Calibri" w:hAnsi="Calibri" w:cs="Calibri"/>
          <w:sz w:val="22"/>
          <w:szCs w:val="22"/>
        </w:rPr>
        <w:t xml:space="preserve"> emergency departments, intensive care units, medical-surgical units, and other inpatient and outpatient locations</w:t>
      </w:r>
      <w:r w:rsidR="007A5F60">
        <w:rPr>
          <w:rFonts w:ascii="Calibri" w:eastAsia="Calibri" w:hAnsi="Calibri" w:cs="Calibri"/>
          <w:sz w:val="22"/>
          <w:szCs w:val="22"/>
        </w:rPr>
        <w:t>)</w:t>
      </w:r>
      <w:r w:rsidR="00A42E7E" w:rsidRPr="00A42E7E">
        <w:rPr>
          <w:rFonts w:ascii="Calibri" w:eastAsia="Calibri" w:hAnsi="Calibri" w:cs="Calibri"/>
          <w:sz w:val="22"/>
          <w:szCs w:val="22"/>
        </w:rPr>
        <w:t>, even though these units may provide care to those at risk of harm</w:t>
      </w:r>
      <w:r w:rsidR="006067A6">
        <w:rPr>
          <w:rFonts w:ascii="Calibri" w:eastAsia="Calibri" w:hAnsi="Calibri" w:cs="Calibri"/>
          <w:sz w:val="22"/>
          <w:szCs w:val="22"/>
        </w:rPr>
        <w:t>ing themselves</w:t>
      </w:r>
      <w:r w:rsidR="00A42E7E" w:rsidRPr="00A42E7E">
        <w:rPr>
          <w:rFonts w:ascii="Calibri" w:eastAsia="Calibri" w:hAnsi="Calibri" w:cs="Calibri"/>
          <w:sz w:val="22"/>
          <w:szCs w:val="22"/>
        </w:rPr>
        <w:t xml:space="preserve"> or others.</w:t>
      </w:r>
      <w:r w:rsidR="00A82128">
        <w:rPr>
          <w:rFonts w:ascii="Calibri" w:eastAsia="Calibri" w:hAnsi="Calibri" w:cs="Calibri"/>
          <w:sz w:val="22"/>
          <w:szCs w:val="22"/>
        </w:rPr>
        <w:t xml:space="preserve"> However, the</w:t>
      </w:r>
      <w:r w:rsidR="00A42E7E">
        <w:rPr>
          <w:rFonts w:ascii="Calibri" w:eastAsia="Calibri" w:hAnsi="Calibri" w:cs="Calibri"/>
          <w:sz w:val="22"/>
          <w:szCs w:val="22"/>
        </w:rPr>
        <w:t xml:space="preserve"> draft guidance’s</w:t>
      </w:r>
      <w:r w:rsidR="00A82128">
        <w:rPr>
          <w:rFonts w:ascii="Calibri" w:eastAsia="Calibri" w:hAnsi="Calibri" w:cs="Calibri"/>
          <w:sz w:val="22"/>
          <w:szCs w:val="22"/>
        </w:rPr>
        <w:t xml:space="preserve"> reference </w:t>
      </w:r>
      <w:r w:rsidR="00454326">
        <w:rPr>
          <w:rFonts w:ascii="Calibri" w:eastAsia="Calibri" w:hAnsi="Calibri" w:cs="Calibri"/>
          <w:sz w:val="22"/>
          <w:szCs w:val="22"/>
        </w:rPr>
        <w:t xml:space="preserve">on page 9 </w:t>
      </w:r>
      <w:r w:rsidR="00A82128">
        <w:rPr>
          <w:rFonts w:ascii="Calibri" w:eastAsia="Calibri" w:hAnsi="Calibri" w:cs="Calibri"/>
          <w:sz w:val="22"/>
          <w:szCs w:val="22"/>
        </w:rPr>
        <w:t>to “emergency departments, with dedicated psychiatric beds or units, when within a locked area in which the patients may not move freely in and out of the unit/rooms” has</w:t>
      </w:r>
      <w:r w:rsidR="001F5447">
        <w:rPr>
          <w:rFonts w:ascii="Calibri" w:eastAsia="Calibri" w:hAnsi="Calibri" w:cs="Calibri"/>
          <w:sz w:val="22"/>
          <w:szCs w:val="22"/>
        </w:rPr>
        <w:t xml:space="preserve"> create</w:t>
      </w:r>
      <w:r w:rsidR="00A82128">
        <w:rPr>
          <w:rFonts w:ascii="Calibri" w:eastAsia="Calibri" w:hAnsi="Calibri" w:cs="Calibri"/>
          <w:sz w:val="22"/>
          <w:szCs w:val="22"/>
        </w:rPr>
        <w:t>d</w:t>
      </w:r>
      <w:r w:rsidR="001F5447">
        <w:rPr>
          <w:rFonts w:ascii="Calibri" w:eastAsia="Calibri" w:hAnsi="Calibri" w:cs="Calibri"/>
          <w:sz w:val="22"/>
          <w:szCs w:val="22"/>
        </w:rPr>
        <w:t xml:space="preserve"> significant confusion in the field. </w:t>
      </w:r>
    </w:p>
    <w:p w14:paraId="10A5A0E0" w14:textId="77777777" w:rsidR="0049520D" w:rsidRDefault="0049520D" w:rsidP="00A42E7E">
      <w:pPr>
        <w:rPr>
          <w:rFonts w:ascii="Calibri" w:eastAsia="Calibri" w:hAnsi="Calibri" w:cs="Calibri"/>
          <w:sz w:val="22"/>
          <w:szCs w:val="22"/>
        </w:rPr>
      </w:pPr>
    </w:p>
    <w:p w14:paraId="1EA1435E" w14:textId="5675DB84" w:rsidR="005A12A1" w:rsidRDefault="00AF4A5D" w:rsidP="00A42E7E">
      <w:pPr>
        <w:rPr>
          <w:rFonts w:ascii="Calibri" w:eastAsia="Calibri" w:hAnsi="Calibri" w:cs="Calibri"/>
          <w:sz w:val="22"/>
          <w:szCs w:val="22"/>
        </w:rPr>
      </w:pPr>
      <w:r w:rsidRPr="00AF4A5D">
        <w:rPr>
          <w:rFonts w:ascii="Calibri" w:eastAsia="Calibri" w:hAnsi="Calibri" w:cs="Calibri"/>
          <w:sz w:val="22"/>
          <w:szCs w:val="22"/>
        </w:rPr>
        <w:t xml:space="preserve">Data show that </w:t>
      </w:r>
      <w:r w:rsidR="006067A6">
        <w:rPr>
          <w:rFonts w:ascii="Calibri" w:eastAsia="Calibri" w:hAnsi="Calibri" w:cs="Calibri"/>
          <w:sz w:val="22"/>
          <w:szCs w:val="22"/>
        </w:rPr>
        <w:t xml:space="preserve">over a five-year period, </w:t>
      </w:r>
      <w:r w:rsidRPr="00AF4A5D">
        <w:rPr>
          <w:rFonts w:ascii="Calibri" w:eastAsia="Calibri" w:hAnsi="Calibri" w:cs="Calibri"/>
          <w:sz w:val="22"/>
          <w:szCs w:val="22"/>
        </w:rPr>
        <w:t xml:space="preserve">hospital emergency department utilization </w:t>
      </w:r>
      <w:r>
        <w:rPr>
          <w:rFonts w:ascii="Calibri" w:eastAsia="Calibri" w:hAnsi="Calibri" w:cs="Calibri"/>
          <w:sz w:val="22"/>
          <w:szCs w:val="22"/>
        </w:rPr>
        <w:t>in California</w:t>
      </w:r>
      <w:r w:rsidR="006067A6">
        <w:rPr>
          <w:rFonts w:ascii="Calibri" w:eastAsia="Calibri" w:hAnsi="Calibri" w:cs="Calibri"/>
          <w:sz w:val="22"/>
          <w:szCs w:val="22"/>
        </w:rPr>
        <w:t xml:space="preserve"> increased</w:t>
      </w:r>
      <w:r>
        <w:rPr>
          <w:rFonts w:ascii="Calibri" w:eastAsia="Calibri" w:hAnsi="Calibri" w:cs="Calibri"/>
          <w:sz w:val="22"/>
          <w:szCs w:val="22"/>
        </w:rPr>
        <w:t xml:space="preserve"> </w:t>
      </w:r>
      <w:r w:rsidRPr="00AF4A5D">
        <w:rPr>
          <w:rFonts w:ascii="Calibri" w:eastAsia="Calibri" w:hAnsi="Calibri" w:cs="Calibri"/>
          <w:sz w:val="22"/>
          <w:szCs w:val="22"/>
        </w:rPr>
        <w:t>by a staggering 47</w:t>
      </w:r>
      <w:r w:rsidR="006067A6">
        <w:rPr>
          <w:rFonts w:ascii="Calibri" w:eastAsia="Calibri" w:hAnsi="Calibri" w:cs="Calibri"/>
          <w:sz w:val="22"/>
          <w:szCs w:val="22"/>
        </w:rPr>
        <w:t>%</w:t>
      </w:r>
      <w:r w:rsidRPr="00AF4A5D">
        <w:rPr>
          <w:rFonts w:ascii="Calibri" w:eastAsia="Calibri" w:hAnsi="Calibri" w:cs="Calibri"/>
          <w:sz w:val="22"/>
          <w:szCs w:val="22"/>
        </w:rPr>
        <w:t>for people with behavioral health conditions</w:t>
      </w:r>
      <w:r w:rsidR="006067A6">
        <w:rPr>
          <w:rFonts w:ascii="Calibri" w:eastAsia="Calibri" w:hAnsi="Calibri" w:cs="Calibri"/>
          <w:sz w:val="22"/>
          <w:szCs w:val="22"/>
        </w:rPr>
        <w:t>,</w:t>
      </w:r>
      <w:r w:rsidRPr="00AF4A5D">
        <w:rPr>
          <w:rFonts w:ascii="Calibri" w:eastAsia="Calibri" w:hAnsi="Calibri" w:cs="Calibri"/>
          <w:sz w:val="22"/>
          <w:szCs w:val="22"/>
        </w:rPr>
        <w:t xml:space="preserve"> while overall </w:t>
      </w:r>
      <w:r>
        <w:rPr>
          <w:rFonts w:ascii="Calibri" w:eastAsia="Calibri" w:hAnsi="Calibri" w:cs="Calibri"/>
          <w:sz w:val="22"/>
          <w:szCs w:val="22"/>
        </w:rPr>
        <w:t>emergency department</w:t>
      </w:r>
      <w:r w:rsidRPr="00AF4A5D">
        <w:rPr>
          <w:rFonts w:ascii="Calibri" w:eastAsia="Calibri" w:hAnsi="Calibri" w:cs="Calibri"/>
          <w:sz w:val="22"/>
          <w:szCs w:val="22"/>
        </w:rPr>
        <w:t xml:space="preserve"> utilization increased by only 14</w:t>
      </w:r>
      <w:r w:rsidR="006067A6">
        <w:rPr>
          <w:rFonts w:ascii="Calibri" w:eastAsia="Calibri" w:hAnsi="Calibri" w:cs="Calibri"/>
          <w:sz w:val="22"/>
          <w:szCs w:val="22"/>
        </w:rPr>
        <w:t>%</w:t>
      </w:r>
      <w:r w:rsidRPr="00AF4A5D">
        <w:rPr>
          <w:rFonts w:ascii="Calibri" w:eastAsia="Calibri" w:hAnsi="Calibri" w:cs="Calibri"/>
          <w:sz w:val="22"/>
          <w:szCs w:val="22"/>
        </w:rPr>
        <w:t>.</w:t>
      </w:r>
      <w:r>
        <w:rPr>
          <w:rFonts w:ascii="Calibri" w:eastAsia="Calibri" w:hAnsi="Calibri" w:cs="Calibri"/>
          <w:sz w:val="22"/>
          <w:szCs w:val="22"/>
        </w:rPr>
        <w:t xml:space="preserve"> This volume has necessitated </w:t>
      </w:r>
      <w:r w:rsidR="00152513">
        <w:rPr>
          <w:rFonts w:ascii="Calibri" w:eastAsia="Calibri" w:hAnsi="Calibri" w:cs="Calibri"/>
          <w:sz w:val="22"/>
          <w:szCs w:val="22"/>
        </w:rPr>
        <w:t xml:space="preserve">that </w:t>
      </w:r>
      <w:r>
        <w:rPr>
          <w:rFonts w:ascii="Calibri" w:eastAsia="Calibri" w:hAnsi="Calibri" w:cs="Calibri"/>
          <w:sz w:val="22"/>
          <w:szCs w:val="22"/>
        </w:rPr>
        <w:t xml:space="preserve">hospitals be flexible in where </w:t>
      </w:r>
      <w:r w:rsidR="001832E5">
        <w:rPr>
          <w:rFonts w:ascii="Calibri" w:eastAsia="Calibri" w:hAnsi="Calibri" w:cs="Calibri"/>
          <w:sz w:val="22"/>
          <w:szCs w:val="22"/>
        </w:rPr>
        <w:t xml:space="preserve">they place </w:t>
      </w:r>
      <w:r>
        <w:rPr>
          <w:rFonts w:ascii="Calibri" w:eastAsia="Calibri" w:hAnsi="Calibri" w:cs="Calibri"/>
          <w:sz w:val="22"/>
          <w:szCs w:val="22"/>
        </w:rPr>
        <w:t xml:space="preserve">emergency department patients with </w:t>
      </w:r>
      <w:r w:rsidR="00BF384B">
        <w:rPr>
          <w:rFonts w:ascii="Calibri" w:eastAsia="Calibri" w:hAnsi="Calibri" w:cs="Calibri"/>
          <w:sz w:val="22"/>
          <w:szCs w:val="22"/>
        </w:rPr>
        <w:t xml:space="preserve">a range of behavioral </w:t>
      </w:r>
      <w:r w:rsidR="002A0D43">
        <w:rPr>
          <w:rFonts w:ascii="Calibri" w:eastAsia="Calibri" w:hAnsi="Calibri" w:cs="Calibri"/>
          <w:sz w:val="22"/>
          <w:szCs w:val="22"/>
        </w:rPr>
        <w:t xml:space="preserve">health </w:t>
      </w:r>
      <w:r w:rsidR="00BF384B">
        <w:rPr>
          <w:rFonts w:ascii="Calibri" w:eastAsia="Calibri" w:hAnsi="Calibri" w:cs="Calibri"/>
          <w:sz w:val="22"/>
          <w:szCs w:val="22"/>
        </w:rPr>
        <w:t>needs, including alcohol, other substance use, and mental health needs</w:t>
      </w:r>
      <w:r w:rsidR="005A12A1">
        <w:rPr>
          <w:rFonts w:ascii="Calibri" w:eastAsia="Calibri" w:hAnsi="Calibri" w:cs="Calibri"/>
          <w:sz w:val="22"/>
          <w:szCs w:val="22"/>
        </w:rPr>
        <w:t xml:space="preserve">. This ensures </w:t>
      </w:r>
      <w:r w:rsidR="002A0D68">
        <w:rPr>
          <w:rFonts w:ascii="Calibri" w:eastAsia="Calibri" w:hAnsi="Calibri" w:cs="Calibri"/>
          <w:sz w:val="22"/>
          <w:szCs w:val="22"/>
        </w:rPr>
        <w:t>patients</w:t>
      </w:r>
      <w:r w:rsidR="001832E5">
        <w:rPr>
          <w:rFonts w:ascii="Calibri" w:eastAsia="Calibri" w:hAnsi="Calibri" w:cs="Calibri"/>
          <w:sz w:val="22"/>
          <w:szCs w:val="22"/>
        </w:rPr>
        <w:t>’</w:t>
      </w:r>
      <w:r w:rsidR="005A12A1">
        <w:rPr>
          <w:rFonts w:ascii="Calibri" w:eastAsia="Calibri" w:hAnsi="Calibri" w:cs="Calibri"/>
          <w:sz w:val="22"/>
          <w:szCs w:val="22"/>
        </w:rPr>
        <w:t xml:space="preserve"> medical </w:t>
      </w:r>
      <w:r w:rsidR="002A0D68">
        <w:rPr>
          <w:rFonts w:ascii="Calibri" w:eastAsia="Calibri" w:hAnsi="Calibri" w:cs="Calibri"/>
          <w:sz w:val="22"/>
          <w:szCs w:val="22"/>
        </w:rPr>
        <w:t>and</w:t>
      </w:r>
      <w:r w:rsidR="005A12A1">
        <w:rPr>
          <w:rFonts w:ascii="Calibri" w:eastAsia="Calibri" w:hAnsi="Calibri" w:cs="Calibri"/>
          <w:sz w:val="22"/>
          <w:szCs w:val="22"/>
        </w:rPr>
        <w:t xml:space="preserve"> behavioral health </w:t>
      </w:r>
      <w:r w:rsidR="002A0D68">
        <w:rPr>
          <w:rFonts w:ascii="Calibri" w:eastAsia="Calibri" w:hAnsi="Calibri" w:cs="Calibri"/>
          <w:sz w:val="22"/>
          <w:szCs w:val="22"/>
        </w:rPr>
        <w:t xml:space="preserve">care </w:t>
      </w:r>
      <w:r w:rsidR="005A12A1">
        <w:rPr>
          <w:rFonts w:ascii="Calibri" w:eastAsia="Calibri" w:hAnsi="Calibri" w:cs="Calibri"/>
          <w:sz w:val="22"/>
          <w:szCs w:val="22"/>
        </w:rPr>
        <w:t>needs are assessed simultaneously.</w:t>
      </w:r>
      <w:r>
        <w:rPr>
          <w:rFonts w:ascii="Calibri" w:eastAsia="Calibri" w:hAnsi="Calibri" w:cs="Calibri"/>
          <w:sz w:val="22"/>
          <w:szCs w:val="22"/>
        </w:rPr>
        <w:t xml:space="preserve"> </w:t>
      </w:r>
      <w:r w:rsidR="00A42E7E" w:rsidRPr="00A42E7E">
        <w:rPr>
          <w:rFonts w:ascii="Calibri" w:eastAsia="Calibri" w:hAnsi="Calibri" w:cs="Calibri"/>
          <w:sz w:val="22"/>
          <w:szCs w:val="22"/>
        </w:rPr>
        <w:t xml:space="preserve">For example, </w:t>
      </w:r>
      <w:r w:rsidR="005A12A1">
        <w:rPr>
          <w:rFonts w:ascii="Calibri" w:eastAsia="Calibri" w:hAnsi="Calibri" w:cs="Calibri"/>
          <w:sz w:val="22"/>
          <w:szCs w:val="22"/>
        </w:rPr>
        <w:t>some</w:t>
      </w:r>
      <w:r w:rsidR="005A12A1" w:rsidRPr="00A42E7E">
        <w:rPr>
          <w:rFonts w:ascii="Calibri" w:eastAsia="Calibri" w:hAnsi="Calibri" w:cs="Calibri"/>
          <w:sz w:val="22"/>
          <w:szCs w:val="22"/>
        </w:rPr>
        <w:t xml:space="preserve"> </w:t>
      </w:r>
      <w:r w:rsidR="00A42E7E" w:rsidRPr="00A42E7E">
        <w:rPr>
          <w:rFonts w:ascii="Calibri" w:eastAsia="Calibri" w:hAnsi="Calibri" w:cs="Calibri"/>
          <w:sz w:val="22"/>
          <w:szCs w:val="22"/>
        </w:rPr>
        <w:t xml:space="preserve">hospitals cohort </w:t>
      </w:r>
      <w:r w:rsidR="002A0D43">
        <w:rPr>
          <w:rFonts w:ascii="Calibri" w:eastAsia="Calibri" w:hAnsi="Calibri" w:cs="Calibri"/>
          <w:sz w:val="22"/>
          <w:szCs w:val="22"/>
        </w:rPr>
        <w:t xml:space="preserve">psychiatric </w:t>
      </w:r>
      <w:r w:rsidR="00A42E7E" w:rsidRPr="00A42E7E">
        <w:rPr>
          <w:rFonts w:ascii="Calibri" w:eastAsia="Calibri" w:hAnsi="Calibri" w:cs="Calibri"/>
          <w:sz w:val="22"/>
          <w:szCs w:val="22"/>
        </w:rPr>
        <w:t>patients</w:t>
      </w:r>
      <w:r w:rsidR="00A42E7E">
        <w:rPr>
          <w:rFonts w:ascii="Calibri" w:eastAsia="Calibri" w:hAnsi="Calibri" w:cs="Calibri"/>
          <w:sz w:val="22"/>
          <w:szCs w:val="22"/>
        </w:rPr>
        <w:t xml:space="preserve"> in the emergency department</w:t>
      </w:r>
      <w:r w:rsidR="00A42E7E" w:rsidRPr="00A42E7E">
        <w:rPr>
          <w:rFonts w:ascii="Calibri" w:eastAsia="Calibri" w:hAnsi="Calibri" w:cs="Calibri"/>
          <w:sz w:val="22"/>
          <w:szCs w:val="22"/>
        </w:rPr>
        <w:t xml:space="preserve">, </w:t>
      </w:r>
      <w:r w:rsidR="00A42E7E">
        <w:rPr>
          <w:rFonts w:ascii="Calibri" w:eastAsia="Calibri" w:hAnsi="Calibri" w:cs="Calibri"/>
          <w:sz w:val="22"/>
          <w:szCs w:val="22"/>
        </w:rPr>
        <w:t>rather than</w:t>
      </w:r>
      <w:r w:rsidR="00A42E7E" w:rsidRPr="00A42E7E">
        <w:rPr>
          <w:rFonts w:ascii="Calibri" w:eastAsia="Calibri" w:hAnsi="Calibri" w:cs="Calibri"/>
          <w:sz w:val="22"/>
          <w:szCs w:val="22"/>
        </w:rPr>
        <w:t xml:space="preserve"> dedicating beds or designating units. </w:t>
      </w:r>
      <w:r w:rsidR="00152513">
        <w:rPr>
          <w:rFonts w:ascii="Calibri" w:eastAsia="Calibri" w:hAnsi="Calibri" w:cs="Calibri"/>
          <w:sz w:val="22"/>
          <w:szCs w:val="22"/>
        </w:rPr>
        <w:t>The number</w:t>
      </w:r>
      <w:r w:rsidR="001832E5">
        <w:rPr>
          <w:rFonts w:ascii="Calibri" w:eastAsia="Calibri" w:hAnsi="Calibri" w:cs="Calibri"/>
          <w:sz w:val="22"/>
          <w:szCs w:val="22"/>
        </w:rPr>
        <w:t>, type,</w:t>
      </w:r>
      <w:r w:rsidR="00152513">
        <w:rPr>
          <w:rFonts w:ascii="Calibri" w:eastAsia="Calibri" w:hAnsi="Calibri" w:cs="Calibri"/>
          <w:sz w:val="22"/>
          <w:szCs w:val="22"/>
        </w:rPr>
        <w:t xml:space="preserve"> </w:t>
      </w:r>
      <w:r w:rsidR="002A0D68">
        <w:rPr>
          <w:rFonts w:ascii="Calibri" w:eastAsia="Calibri" w:hAnsi="Calibri" w:cs="Calibri"/>
          <w:sz w:val="22"/>
          <w:szCs w:val="22"/>
        </w:rPr>
        <w:t xml:space="preserve">and </w:t>
      </w:r>
      <w:r w:rsidR="002A0D68">
        <w:rPr>
          <w:rFonts w:ascii="Calibri" w:eastAsia="Calibri" w:hAnsi="Calibri" w:cs="Calibri"/>
          <w:sz w:val="22"/>
          <w:szCs w:val="22"/>
        </w:rPr>
        <w:lastRenderedPageBreak/>
        <w:t xml:space="preserve">location </w:t>
      </w:r>
      <w:r w:rsidR="00152513">
        <w:rPr>
          <w:rFonts w:ascii="Calibri" w:eastAsia="Calibri" w:hAnsi="Calibri" w:cs="Calibri"/>
          <w:sz w:val="22"/>
          <w:szCs w:val="22"/>
        </w:rPr>
        <w:t xml:space="preserve">of </w:t>
      </w:r>
      <w:r w:rsidR="002A0D68">
        <w:rPr>
          <w:rFonts w:ascii="Calibri" w:eastAsia="Calibri" w:hAnsi="Calibri" w:cs="Calibri"/>
          <w:sz w:val="22"/>
          <w:szCs w:val="22"/>
        </w:rPr>
        <w:t xml:space="preserve">these </w:t>
      </w:r>
      <w:r w:rsidR="00152513">
        <w:rPr>
          <w:rFonts w:ascii="Calibri" w:eastAsia="Calibri" w:hAnsi="Calibri" w:cs="Calibri"/>
          <w:sz w:val="22"/>
          <w:szCs w:val="22"/>
        </w:rPr>
        <w:t xml:space="preserve">cohorts </w:t>
      </w:r>
      <w:r>
        <w:rPr>
          <w:rFonts w:ascii="Calibri" w:eastAsia="Calibri" w:hAnsi="Calibri" w:cs="Calibri"/>
          <w:sz w:val="22"/>
          <w:szCs w:val="22"/>
        </w:rPr>
        <w:t xml:space="preserve">can change from day to day as the patient population varies. </w:t>
      </w:r>
      <w:r w:rsidR="00152513">
        <w:rPr>
          <w:rFonts w:ascii="Calibri" w:eastAsia="Calibri" w:hAnsi="Calibri" w:cs="Calibri"/>
          <w:sz w:val="22"/>
          <w:szCs w:val="22"/>
        </w:rPr>
        <w:t xml:space="preserve">A hospital </w:t>
      </w:r>
      <w:r w:rsidR="00152513" w:rsidRPr="00152513">
        <w:rPr>
          <w:rFonts w:ascii="Calibri" w:eastAsia="Calibri" w:hAnsi="Calibri" w:cs="Calibri"/>
          <w:sz w:val="22"/>
          <w:szCs w:val="22"/>
        </w:rPr>
        <w:t xml:space="preserve">may place patients in different areas depending on </w:t>
      </w:r>
      <w:r w:rsidR="002A0D68">
        <w:rPr>
          <w:rFonts w:ascii="Calibri" w:eastAsia="Calibri" w:hAnsi="Calibri" w:cs="Calibri"/>
          <w:sz w:val="22"/>
          <w:szCs w:val="22"/>
        </w:rPr>
        <w:t>the</w:t>
      </w:r>
      <w:r w:rsidR="00152513" w:rsidRPr="00152513">
        <w:rPr>
          <w:rFonts w:ascii="Calibri" w:eastAsia="Calibri" w:hAnsi="Calibri" w:cs="Calibri"/>
          <w:sz w:val="22"/>
          <w:szCs w:val="22"/>
        </w:rPr>
        <w:t xml:space="preserve"> patient population they represent</w:t>
      </w:r>
      <w:r w:rsidR="002A0D68">
        <w:rPr>
          <w:rFonts w:ascii="Calibri" w:eastAsia="Calibri" w:hAnsi="Calibri" w:cs="Calibri"/>
          <w:sz w:val="22"/>
          <w:szCs w:val="22"/>
        </w:rPr>
        <w:t>.</w:t>
      </w:r>
      <w:r w:rsidR="00152513" w:rsidRPr="00152513">
        <w:rPr>
          <w:rFonts w:ascii="Calibri" w:eastAsia="Calibri" w:hAnsi="Calibri" w:cs="Calibri"/>
          <w:sz w:val="22"/>
          <w:szCs w:val="22"/>
        </w:rPr>
        <w:t xml:space="preserve"> </w:t>
      </w:r>
      <w:r w:rsidR="002A0D68">
        <w:rPr>
          <w:rFonts w:ascii="Calibri" w:eastAsia="Calibri" w:hAnsi="Calibri" w:cs="Calibri"/>
          <w:sz w:val="22"/>
          <w:szCs w:val="22"/>
        </w:rPr>
        <w:t>F</w:t>
      </w:r>
      <w:r w:rsidR="00152513" w:rsidRPr="00152513">
        <w:rPr>
          <w:rFonts w:ascii="Calibri" w:eastAsia="Calibri" w:hAnsi="Calibri" w:cs="Calibri"/>
          <w:sz w:val="22"/>
          <w:szCs w:val="22"/>
        </w:rPr>
        <w:t xml:space="preserve">or instance, </w:t>
      </w:r>
      <w:r w:rsidR="002A0D68">
        <w:rPr>
          <w:rFonts w:ascii="Calibri" w:eastAsia="Calibri" w:hAnsi="Calibri" w:cs="Calibri"/>
          <w:sz w:val="22"/>
          <w:szCs w:val="22"/>
        </w:rPr>
        <w:t xml:space="preserve">hospitals may </w:t>
      </w:r>
      <w:r w:rsidR="00152513" w:rsidRPr="00152513">
        <w:rPr>
          <w:rFonts w:ascii="Calibri" w:eastAsia="Calibri" w:hAnsi="Calibri" w:cs="Calibri"/>
          <w:sz w:val="22"/>
          <w:szCs w:val="22"/>
        </w:rPr>
        <w:t>separat</w:t>
      </w:r>
      <w:r w:rsidR="002A0D68">
        <w:rPr>
          <w:rFonts w:ascii="Calibri" w:eastAsia="Calibri" w:hAnsi="Calibri" w:cs="Calibri"/>
          <w:sz w:val="22"/>
          <w:szCs w:val="22"/>
        </w:rPr>
        <w:t>e</w:t>
      </w:r>
      <w:r w:rsidR="00152513" w:rsidRPr="00152513">
        <w:rPr>
          <w:rFonts w:ascii="Calibri" w:eastAsia="Calibri" w:hAnsi="Calibri" w:cs="Calibri"/>
          <w:sz w:val="22"/>
          <w:szCs w:val="22"/>
        </w:rPr>
        <w:t xml:space="preserve"> pediatric mental health patients from </w:t>
      </w:r>
      <w:r w:rsidR="005A12A1">
        <w:rPr>
          <w:rFonts w:ascii="Calibri" w:eastAsia="Calibri" w:hAnsi="Calibri" w:cs="Calibri"/>
          <w:sz w:val="22"/>
          <w:szCs w:val="22"/>
        </w:rPr>
        <w:t>patients under the influence of alcohol or</w:t>
      </w:r>
      <w:r w:rsidR="002A0D43">
        <w:rPr>
          <w:rFonts w:ascii="Calibri" w:eastAsia="Calibri" w:hAnsi="Calibri" w:cs="Calibri"/>
          <w:sz w:val="22"/>
          <w:szCs w:val="22"/>
        </w:rPr>
        <w:t xml:space="preserve"> other</w:t>
      </w:r>
      <w:r w:rsidR="005A12A1">
        <w:rPr>
          <w:rFonts w:ascii="Calibri" w:eastAsia="Calibri" w:hAnsi="Calibri" w:cs="Calibri"/>
          <w:sz w:val="22"/>
          <w:szCs w:val="22"/>
        </w:rPr>
        <w:t xml:space="preserve"> </w:t>
      </w:r>
      <w:r w:rsidR="002A0D43">
        <w:rPr>
          <w:rFonts w:ascii="Calibri" w:eastAsia="Calibri" w:hAnsi="Calibri" w:cs="Calibri"/>
          <w:sz w:val="22"/>
          <w:szCs w:val="22"/>
        </w:rPr>
        <w:t xml:space="preserve">substances </w:t>
      </w:r>
      <w:r w:rsidR="005A12A1">
        <w:rPr>
          <w:rFonts w:ascii="Calibri" w:eastAsia="Calibri" w:hAnsi="Calibri" w:cs="Calibri"/>
          <w:sz w:val="22"/>
          <w:szCs w:val="22"/>
        </w:rPr>
        <w:t>who present a harm to themselves or others</w:t>
      </w:r>
      <w:r w:rsidR="001D79EE">
        <w:rPr>
          <w:rFonts w:ascii="Calibri" w:eastAsia="Calibri" w:hAnsi="Calibri" w:cs="Calibri"/>
          <w:sz w:val="22"/>
          <w:szCs w:val="22"/>
        </w:rPr>
        <w:t xml:space="preserve">, as the latter population’s mental health symptoms would be </w:t>
      </w:r>
      <w:r w:rsidR="001832E5">
        <w:rPr>
          <w:rFonts w:ascii="Calibri" w:eastAsia="Calibri" w:hAnsi="Calibri" w:cs="Calibri"/>
          <w:sz w:val="22"/>
          <w:szCs w:val="22"/>
        </w:rPr>
        <w:t xml:space="preserve">better </w:t>
      </w:r>
      <w:r w:rsidR="001D79EE">
        <w:rPr>
          <w:rFonts w:ascii="Calibri" w:eastAsia="Calibri" w:hAnsi="Calibri" w:cs="Calibri"/>
          <w:sz w:val="22"/>
          <w:szCs w:val="22"/>
        </w:rPr>
        <w:t>addressed after the patient regains sobriety</w:t>
      </w:r>
      <w:r w:rsidR="005A12A1">
        <w:rPr>
          <w:rFonts w:ascii="Calibri" w:eastAsia="Calibri" w:hAnsi="Calibri" w:cs="Calibri"/>
          <w:sz w:val="22"/>
          <w:szCs w:val="22"/>
        </w:rPr>
        <w:t xml:space="preserve">. </w:t>
      </w:r>
    </w:p>
    <w:p w14:paraId="08F7E734" w14:textId="77777777" w:rsidR="005A12A1" w:rsidRDefault="005A12A1" w:rsidP="00A42E7E">
      <w:pPr>
        <w:rPr>
          <w:rFonts w:ascii="Calibri" w:eastAsia="Calibri" w:hAnsi="Calibri" w:cs="Calibri"/>
          <w:sz w:val="22"/>
          <w:szCs w:val="22"/>
        </w:rPr>
      </w:pPr>
    </w:p>
    <w:p w14:paraId="62835198" w14:textId="2F7E6B37" w:rsidR="00A42E7E" w:rsidRPr="00A42E7E" w:rsidRDefault="005A12A1" w:rsidP="00A42E7E">
      <w:pPr>
        <w:rPr>
          <w:rFonts w:ascii="Calibri" w:eastAsia="Calibri" w:hAnsi="Calibri" w:cs="Calibri"/>
          <w:sz w:val="22"/>
          <w:szCs w:val="22"/>
        </w:rPr>
      </w:pPr>
      <w:r>
        <w:rPr>
          <w:rFonts w:ascii="Calibri" w:eastAsia="Calibri" w:hAnsi="Calibri" w:cs="Calibri"/>
          <w:sz w:val="22"/>
          <w:szCs w:val="22"/>
        </w:rPr>
        <w:t>In addition</w:t>
      </w:r>
      <w:r w:rsidR="00A42E7E">
        <w:rPr>
          <w:rFonts w:ascii="Calibri" w:eastAsia="Calibri" w:hAnsi="Calibri" w:cs="Calibri"/>
          <w:sz w:val="22"/>
          <w:szCs w:val="22"/>
        </w:rPr>
        <w:t>, psychiatric</w:t>
      </w:r>
      <w:r w:rsidR="00A42E7E" w:rsidRPr="00A42E7E">
        <w:rPr>
          <w:rFonts w:ascii="Calibri" w:eastAsia="Calibri" w:hAnsi="Calibri" w:cs="Calibri"/>
          <w:sz w:val="22"/>
          <w:szCs w:val="22"/>
        </w:rPr>
        <w:t xml:space="preserve"> patients</w:t>
      </w:r>
      <w:r w:rsidR="00A42E7E">
        <w:rPr>
          <w:rFonts w:ascii="Calibri" w:eastAsia="Calibri" w:hAnsi="Calibri" w:cs="Calibri"/>
          <w:sz w:val="22"/>
          <w:szCs w:val="22"/>
        </w:rPr>
        <w:t xml:space="preserve"> within emergency departments</w:t>
      </w:r>
      <w:r w:rsidR="00A42E7E" w:rsidRPr="00A42E7E">
        <w:rPr>
          <w:rFonts w:ascii="Calibri" w:eastAsia="Calibri" w:hAnsi="Calibri" w:cs="Calibri"/>
          <w:sz w:val="22"/>
          <w:szCs w:val="22"/>
        </w:rPr>
        <w:t xml:space="preserve"> may have personnel supervising them</w:t>
      </w:r>
      <w:r w:rsidR="00A42E7E">
        <w:rPr>
          <w:rFonts w:ascii="Calibri" w:eastAsia="Calibri" w:hAnsi="Calibri" w:cs="Calibri"/>
          <w:sz w:val="22"/>
          <w:szCs w:val="22"/>
        </w:rPr>
        <w:t xml:space="preserve"> and restricting their movement in an unlocked unit</w:t>
      </w:r>
      <w:r w:rsidR="00A42E7E" w:rsidRPr="00A42E7E">
        <w:rPr>
          <w:rFonts w:ascii="Calibri" w:eastAsia="Calibri" w:hAnsi="Calibri" w:cs="Calibri"/>
          <w:sz w:val="22"/>
          <w:szCs w:val="22"/>
        </w:rPr>
        <w:t xml:space="preserve">. </w:t>
      </w:r>
      <w:r>
        <w:rPr>
          <w:rFonts w:ascii="Calibri" w:eastAsia="Calibri" w:hAnsi="Calibri" w:cs="Calibri"/>
          <w:sz w:val="22"/>
          <w:szCs w:val="22"/>
        </w:rPr>
        <w:t xml:space="preserve">For example, </w:t>
      </w:r>
      <w:r w:rsidR="002A0D43">
        <w:rPr>
          <w:rFonts w:ascii="Calibri" w:eastAsia="Calibri" w:hAnsi="Calibri" w:cs="Calibri"/>
          <w:sz w:val="22"/>
          <w:szCs w:val="22"/>
        </w:rPr>
        <w:t xml:space="preserve">there may be </w:t>
      </w:r>
      <w:r>
        <w:rPr>
          <w:rFonts w:ascii="Calibri" w:eastAsia="Calibri" w:hAnsi="Calibri" w:cs="Calibri"/>
          <w:sz w:val="22"/>
          <w:szCs w:val="22"/>
        </w:rPr>
        <w:t xml:space="preserve">an area </w:t>
      </w:r>
      <w:r w:rsidR="001D79EE">
        <w:rPr>
          <w:rFonts w:ascii="Calibri" w:eastAsia="Calibri" w:hAnsi="Calibri" w:cs="Calibri"/>
          <w:sz w:val="22"/>
          <w:szCs w:val="22"/>
        </w:rPr>
        <w:t>in which entrance is limited to those with an employee badge, but exit is unrestricted</w:t>
      </w:r>
      <w:r>
        <w:rPr>
          <w:rFonts w:ascii="Calibri" w:eastAsia="Calibri" w:hAnsi="Calibri" w:cs="Calibri"/>
          <w:sz w:val="22"/>
          <w:szCs w:val="22"/>
        </w:rPr>
        <w:t xml:space="preserve">. </w:t>
      </w:r>
      <w:r w:rsidR="00A42E7E" w:rsidRPr="00A42E7E">
        <w:rPr>
          <w:rFonts w:ascii="Calibri" w:eastAsia="Calibri" w:hAnsi="Calibri" w:cs="Calibri"/>
          <w:sz w:val="22"/>
          <w:szCs w:val="22"/>
        </w:rPr>
        <w:t>As a result, the language about moving freely adds even greater confusion</w:t>
      </w:r>
      <w:r w:rsidR="00441BBE">
        <w:rPr>
          <w:rFonts w:ascii="Calibri" w:eastAsia="Calibri" w:hAnsi="Calibri" w:cs="Calibri"/>
          <w:sz w:val="22"/>
          <w:szCs w:val="22"/>
        </w:rPr>
        <w:t xml:space="preserve">. </w:t>
      </w:r>
      <w:r w:rsidR="00A42E7E" w:rsidRPr="00A42E7E">
        <w:rPr>
          <w:rFonts w:ascii="Calibri" w:eastAsia="Calibri" w:hAnsi="Calibri" w:cs="Calibri"/>
          <w:sz w:val="22"/>
          <w:szCs w:val="22"/>
        </w:rPr>
        <w:t xml:space="preserve">Taken together, </w:t>
      </w:r>
      <w:r w:rsidR="00441BBE">
        <w:rPr>
          <w:rFonts w:ascii="Calibri" w:eastAsia="Calibri" w:hAnsi="Calibri" w:cs="Calibri"/>
          <w:sz w:val="22"/>
          <w:szCs w:val="22"/>
        </w:rPr>
        <w:t>the language currently outlined is subjective and will result in significant</w:t>
      </w:r>
      <w:r w:rsidR="001D79EE">
        <w:rPr>
          <w:rFonts w:ascii="Calibri" w:eastAsia="Calibri" w:hAnsi="Calibri" w:cs="Calibri"/>
          <w:sz w:val="22"/>
          <w:szCs w:val="22"/>
        </w:rPr>
        <w:t>ly varied</w:t>
      </w:r>
      <w:r w:rsidR="00441BBE">
        <w:rPr>
          <w:rFonts w:ascii="Calibri" w:eastAsia="Calibri" w:hAnsi="Calibri" w:cs="Calibri"/>
          <w:sz w:val="22"/>
          <w:szCs w:val="22"/>
        </w:rPr>
        <w:t xml:space="preserve"> survey finding</w:t>
      </w:r>
      <w:r w:rsidR="001D79EE">
        <w:rPr>
          <w:rFonts w:ascii="Calibri" w:eastAsia="Calibri" w:hAnsi="Calibri" w:cs="Calibri"/>
          <w:sz w:val="22"/>
          <w:szCs w:val="22"/>
        </w:rPr>
        <w:t>s</w:t>
      </w:r>
      <w:r w:rsidR="00441BBE">
        <w:rPr>
          <w:rFonts w:ascii="Calibri" w:eastAsia="Calibri" w:hAnsi="Calibri" w:cs="Calibri"/>
          <w:sz w:val="22"/>
          <w:szCs w:val="22"/>
        </w:rPr>
        <w:t xml:space="preserve">. </w:t>
      </w:r>
    </w:p>
    <w:p w14:paraId="015D9177" w14:textId="1A72E7EF" w:rsidR="00A82128" w:rsidRDefault="00A82128" w:rsidP="005C4663">
      <w:pPr>
        <w:rPr>
          <w:rFonts w:ascii="Calibri" w:eastAsia="Calibri" w:hAnsi="Calibri" w:cs="Calibri"/>
          <w:sz w:val="22"/>
          <w:szCs w:val="22"/>
        </w:rPr>
      </w:pPr>
    </w:p>
    <w:p w14:paraId="5D2DD1B0" w14:textId="2C64CBF2" w:rsidR="007E7D8D" w:rsidRDefault="00056F34" w:rsidP="005C4663">
      <w:pPr>
        <w:rPr>
          <w:rFonts w:ascii="Calibri" w:eastAsia="Calibri" w:hAnsi="Calibri" w:cs="Calibri"/>
          <w:sz w:val="22"/>
          <w:szCs w:val="22"/>
        </w:rPr>
      </w:pPr>
      <w:r>
        <w:rPr>
          <w:rFonts w:ascii="Calibri" w:eastAsia="Calibri" w:hAnsi="Calibri" w:cs="Calibri"/>
          <w:sz w:val="22"/>
          <w:szCs w:val="22"/>
        </w:rPr>
        <w:t>I</w:t>
      </w:r>
      <w:r w:rsidR="00A42E7E">
        <w:rPr>
          <w:rFonts w:ascii="Calibri" w:eastAsia="Calibri" w:hAnsi="Calibri" w:cs="Calibri"/>
          <w:sz w:val="22"/>
          <w:szCs w:val="22"/>
        </w:rPr>
        <w:t xml:space="preserve">ncluding </w:t>
      </w:r>
      <w:r w:rsidR="007B6B99">
        <w:rPr>
          <w:rFonts w:ascii="Calibri" w:eastAsia="Calibri" w:hAnsi="Calibri" w:cs="Calibri"/>
          <w:sz w:val="22"/>
          <w:szCs w:val="22"/>
        </w:rPr>
        <w:t xml:space="preserve">less than clear language regarding the applicability to </w:t>
      </w:r>
      <w:r w:rsidR="00A42E7E">
        <w:rPr>
          <w:rFonts w:ascii="Calibri" w:eastAsia="Calibri" w:hAnsi="Calibri" w:cs="Calibri"/>
          <w:sz w:val="22"/>
          <w:szCs w:val="22"/>
        </w:rPr>
        <w:t>emergency departments,</w:t>
      </w:r>
      <w:r w:rsidR="00441BBE">
        <w:rPr>
          <w:rFonts w:ascii="Calibri" w:eastAsia="Calibri" w:hAnsi="Calibri" w:cs="Calibri"/>
          <w:sz w:val="22"/>
          <w:szCs w:val="22"/>
        </w:rPr>
        <w:t xml:space="preserve"> when the previous language notes that emergency departments are excluded (absent a locked unit within the emergency department)</w:t>
      </w:r>
      <w:r>
        <w:rPr>
          <w:rFonts w:ascii="Calibri" w:eastAsia="Calibri" w:hAnsi="Calibri" w:cs="Calibri"/>
          <w:sz w:val="22"/>
          <w:szCs w:val="22"/>
        </w:rPr>
        <w:t>,</w:t>
      </w:r>
      <w:r w:rsidR="00441BBE">
        <w:rPr>
          <w:rFonts w:ascii="Calibri" w:eastAsia="Calibri" w:hAnsi="Calibri" w:cs="Calibri"/>
          <w:sz w:val="22"/>
          <w:szCs w:val="22"/>
        </w:rPr>
        <w:t xml:space="preserve"> is of great concern.  </w:t>
      </w:r>
    </w:p>
    <w:p w14:paraId="31F0C7ED" w14:textId="77777777" w:rsidR="00A4767E" w:rsidRDefault="00A4767E" w:rsidP="005C4663">
      <w:pPr>
        <w:rPr>
          <w:rFonts w:ascii="Calibri" w:eastAsia="Calibri" w:hAnsi="Calibri" w:cs="Calibri"/>
          <w:sz w:val="22"/>
          <w:szCs w:val="22"/>
        </w:rPr>
      </w:pPr>
    </w:p>
    <w:p w14:paraId="38D1D975" w14:textId="5255010C" w:rsidR="001F5447" w:rsidRDefault="00441BBE" w:rsidP="005C4663">
      <w:pPr>
        <w:rPr>
          <w:rFonts w:ascii="Calibri" w:eastAsia="Calibri" w:hAnsi="Calibri" w:cs="Calibri"/>
          <w:sz w:val="22"/>
          <w:szCs w:val="22"/>
        </w:rPr>
      </w:pPr>
      <w:r>
        <w:rPr>
          <w:rFonts w:ascii="Calibri" w:eastAsia="Calibri" w:hAnsi="Calibri" w:cs="Calibri"/>
          <w:sz w:val="22"/>
          <w:szCs w:val="22"/>
        </w:rPr>
        <w:t>We ask the agency to reconsider this language</w:t>
      </w:r>
      <w:r w:rsidR="007E7D8D">
        <w:rPr>
          <w:rFonts w:ascii="Calibri" w:eastAsia="Calibri" w:hAnsi="Calibri" w:cs="Calibri"/>
          <w:sz w:val="22"/>
          <w:szCs w:val="22"/>
        </w:rPr>
        <w:t xml:space="preserve">, keeping in </w:t>
      </w:r>
      <w:proofErr w:type="gramStart"/>
      <w:r w:rsidR="007E7D8D">
        <w:rPr>
          <w:rFonts w:ascii="Calibri" w:eastAsia="Calibri" w:hAnsi="Calibri" w:cs="Calibri"/>
          <w:sz w:val="22"/>
          <w:szCs w:val="22"/>
        </w:rPr>
        <w:t>mind  hospitals</w:t>
      </w:r>
      <w:proofErr w:type="gramEnd"/>
      <w:r w:rsidR="007E7D8D">
        <w:rPr>
          <w:rFonts w:ascii="Calibri" w:eastAsia="Calibri" w:hAnsi="Calibri" w:cs="Calibri"/>
          <w:sz w:val="22"/>
          <w:szCs w:val="22"/>
        </w:rPr>
        <w:t xml:space="preserve">’ current patient assessment processes that inform the mitigation of </w:t>
      </w:r>
      <w:r>
        <w:rPr>
          <w:rFonts w:ascii="Calibri" w:eastAsia="Calibri" w:hAnsi="Calibri" w:cs="Calibri"/>
          <w:sz w:val="22"/>
          <w:szCs w:val="22"/>
        </w:rPr>
        <w:t>environmental risks</w:t>
      </w:r>
      <w:r w:rsidR="007E7D8D">
        <w:rPr>
          <w:rFonts w:ascii="Calibri" w:eastAsia="Calibri" w:hAnsi="Calibri" w:cs="Calibri"/>
          <w:sz w:val="22"/>
          <w:szCs w:val="22"/>
        </w:rPr>
        <w:t>.</w:t>
      </w:r>
      <w:r>
        <w:rPr>
          <w:rFonts w:ascii="Calibri" w:eastAsia="Calibri" w:hAnsi="Calibri" w:cs="Calibri"/>
          <w:sz w:val="22"/>
          <w:szCs w:val="22"/>
        </w:rPr>
        <w:t xml:space="preserve"> </w:t>
      </w:r>
      <w:r w:rsidR="007E7D8D">
        <w:rPr>
          <w:rFonts w:ascii="Calibri" w:eastAsia="Calibri" w:hAnsi="Calibri" w:cs="Calibri"/>
          <w:sz w:val="22"/>
          <w:szCs w:val="22"/>
        </w:rPr>
        <w:t>This process</w:t>
      </w:r>
      <w:r>
        <w:rPr>
          <w:rFonts w:ascii="Calibri" w:eastAsia="Calibri" w:hAnsi="Calibri" w:cs="Calibri"/>
          <w:sz w:val="22"/>
          <w:szCs w:val="22"/>
        </w:rPr>
        <w:t xml:space="preserve"> </w:t>
      </w:r>
      <w:r w:rsidR="007E7D8D">
        <w:rPr>
          <w:rFonts w:ascii="Calibri" w:eastAsia="Calibri" w:hAnsi="Calibri" w:cs="Calibri"/>
          <w:sz w:val="22"/>
          <w:szCs w:val="22"/>
        </w:rPr>
        <w:t xml:space="preserve">is used </w:t>
      </w:r>
      <w:r>
        <w:rPr>
          <w:rFonts w:ascii="Calibri" w:eastAsia="Calibri" w:hAnsi="Calibri" w:cs="Calibri"/>
          <w:sz w:val="22"/>
          <w:szCs w:val="22"/>
        </w:rPr>
        <w:t>to ensure high</w:t>
      </w:r>
      <w:r w:rsidR="007E7D8D">
        <w:rPr>
          <w:rFonts w:ascii="Calibri" w:eastAsia="Calibri" w:hAnsi="Calibri" w:cs="Calibri"/>
          <w:sz w:val="22"/>
          <w:szCs w:val="22"/>
        </w:rPr>
        <w:t>-</w:t>
      </w:r>
      <w:r>
        <w:rPr>
          <w:rFonts w:ascii="Calibri" w:eastAsia="Calibri" w:hAnsi="Calibri" w:cs="Calibri"/>
          <w:sz w:val="22"/>
          <w:szCs w:val="22"/>
        </w:rPr>
        <w:t>quality patient care</w:t>
      </w:r>
      <w:r w:rsidR="007E7D8D">
        <w:rPr>
          <w:rFonts w:ascii="Calibri" w:eastAsia="Calibri" w:hAnsi="Calibri" w:cs="Calibri"/>
          <w:sz w:val="22"/>
          <w:szCs w:val="22"/>
        </w:rPr>
        <w:t xml:space="preserve"> not only</w:t>
      </w:r>
      <w:r>
        <w:rPr>
          <w:rFonts w:ascii="Calibri" w:eastAsia="Calibri" w:hAnsi="Calibri" w:cs="Calibri"/>
          <w:sz w:val="22"/>
          <w:szCs w:val="22"/>
        </w:rPr>
        <w:t xml:space="preserve"> within the </w:t>
      </w:r>
      <w:r w:rsidR="00056F34">
        <w:rPr>
          <w:rFonts w:ascii="Calibri" w:eastAsia="Calibri" w:hAnsi="Calibri" w:cs="Calibri"/>
          <w:sz w:val="22"/>
          <w:szCs w:val="22"/>
        </w:rPr>
        <w:t>emergency department</w:t>
      </w:r>
      <w:r w:rsidR="007E7D8D">
        <w:rPr>
          <w:rFonts w:ascii="Calibri" w:eastAsia="Calibri" w:hAnsi="Calibri" w:cs="Calibri"/>
          <w:sz w:val="22"/>
          <w:szCs w:val="22"/>
        </w:rPr>
        <w:t>, but also</w:t>
      </w:r>
      <w:r>
        <w:rPr>
          <w:rFonts w:ascii="Calibri" w:eastAsia="Calibri" w:hAnsi="Calibri" w:cs="Calibri"/>
          <w:sz w:val="22"/>
          <w:szCs w:val="22"/>
        </w:rPr>
        <w:t xml:space="preserve"> any other unlocked area of the hospital. </w:t>
      </w:r>
      <w:r w:rsidR="00A42E7E">
        <w:rPr>
          <w:rFonts w:ascii="Calibri" w:eastAsia="Calibri" w:hAnsi="Calibri" w:cs="Calibri"/>
          <w:sz w:val="22"/>
          <w:szCs w:val="22"/>
        </w:rPr>
        <w:t>In comparison</w:t>
      </w:r>
      <w:r w:rsidR="001F5447">
        <w:rPr>
          <w:rFonts w:ascii="Calibri" w:eastAsia="Calibri" w:hAnsi="Calibri" w:cs="Calibri"/>
          <w:sz w:val="22"/>
          <w:szCs w:val="22"/>
        </w:rPr>
        <w:t>,</w:t>
      </w:r>
      <w:r w:rsidR="007E7D8D">
        <w:rPr>
          <w:rFonts w:ascii="Calibri" w:eastAsia="Calibri" w:hAnsi="Calibri" w:cs="Calibri"/>
          <w:sz w:val="22"/>
          <w:szCs w:val="22"/>
        </w:rPr>
        <w:t xml:space="preserve"> The Joint Commission —</w:t>
      </w:r>
      <w:r w:rsidR="001F5447">
        <w:rPr>
          <w:rFonts w:ascii="Calibri" w:eastAsia="Calibri" w:hAnsi="Calibri" w:cs="Calibri"/>
          <w:sz w:val="22"/>
          <w:szCs w:val="22"/>
        </w:rPr>
        <w:t xml:space="preserve"> under its </w:t>
      </w:r>
      <w:r w:rsidR="001F5447" w:rsidRPr="001F5447">
        <w:rPr>
          <w:rFonts w:ascii="Calibri" w:eastAsia="Calibri" w:hAnsi="Calibri" w:cs="Calibri"/>
          <w:i/>
          <w:iCs/>
          <w:sz w:val="22"/>
          <w:szCs w:val="22"/>
        </w:rPr>
        <w:t>Revisions to the National Patient Safety Goal on Reducing the Risk for Suicide</w:t>
      </w:r>
      <w:r w:rsidR="000C5155">
        <w:rPr>
          <w:rFonts w:ascii="Calibri" w:eastAsia="Calibri" w:hAnsi="Calibri" w:cs="Calibri"/>
          <w:i/>
          <w:iCs/>
          <w:sz w:val="22"/>
          <w:szCs w:val="22"/>
        </w:rPr>
        <w:t xml:space="preserve"> (NPSG.15.01.01)</w:t>
      </w:r>
      <w:r w:rsidR="001F5447" w:rsidRPr="001F5447">
        <w:rPr>
          <w:rFonts w:ascii="Calibri" w:eastAsia="Calibri" w:hAnsi="Calibri" w:cs="Calibri"/>
          <w:i/>
          <w:iCs/>
          <w:sz w:val="22"/>
          <w:szCs w:val="22"/>
        </w:rPr>
        <w:t>,</w:t>
      </w:r>
      <w:r w:rsidR="001F5447">
        <w:rPr>
          <w:rFonts w:ascii="Calibri" w:eastAsia="Calibri" w:hAnsi="Calibri" w:cs="Calibri"/>
          <w:i/>
          <w:iCs/>
          <w:sz w:val="22"/>
          <w:szCs w:val="22"/>
        </w:rPr>
        <w:t xml:space="preserve"> </w:t>
      </w:r>
      <w:r w:rsidR="001F5447">
        <w:rPr>
          <w:rFonts w:ascii="Calibri" w:eastAsia="Calibri" w:hAnsi="Calibri" w:cs="Calibri"/>
          <w:sz w:val="22"/>
          <w:szCs w:val="22"/>
        </w:rPr>
        <w:t>issued November 26, 2018</w:t>
      </w:r>
      <w:r w:rsidR="00F21DD4">
        <w:rPr>
          <w:rFonts w:ascii="Calibri" w:eastAsia="Calibri" w:hAnsi="Calibri" w:cs="Calibri"/>
          <w:sz w:val="22"/>
          <w:szCs w:val="22"/>
        </w:rPr>
        <w:t xml:space="preserve"> and effective July 1, 2019</w:t>
      </w:r>
      <w:r w:rsidR="007E7D8D">
        <w:rPr>
          <w:rFonts w:ascii="Calibri" w:eastAsia="Calibri" w:hAnsi="Calibri" w:cs="Calibri"/>
          <w:sz w:val="22"/>
          <w:szCs w:val="22"/>
        </w:rPr>
        <w:t xml:space="preserve"> —</w:t>
      </w:r>
      <w:r w:rsidR="001F5447">
        <w:rPr>
          <w:rFonts w:ascii="Calibri" w:eastAsia="Calibri" w:hAnsi="Calibri" w:cs="Calibri"/>
          <w:sz w:val="22"/>
          <w:szCs w:val="22"/>
        </w:rPr>
        <w:t xml:space="preserve">states that it does not expect </w:t>
      </w:r>
      <w:r w:rsidR="001F5447" w:rsidRPr="00F320B6">
        <w:rPr>
          <w:rFonts w:ascii="Calibri" w:eastAsia="Calibri" w:hAnsi="Calibri" w:cs="Calibri"/>
          <w:b/>
          <w:sz w:val="22"/>
          <w:szCs w:val="22"/>
        </w:rPr>
        <w:t>non-psychiatric units</w:t>
      </w:r>
      <w:r w:rsidR="000C5155" w:rsidRPr="00F320B6">
        <w:rPr>
          <w:rFonts w:ascii="Calibri" w:eastAsia="Calibri" w:hAnsi="Calibri" w:cs="Calibri"/>
          <w:b/>
          <w:sz w:val="22"/>
          <w:szCs w:val="22"/>
        </w:rPr>
        <w:t xml:space="preserve"> in general hospitals</w:t>
      </w:r>
      <w:r w:rsidR="001F5447" w:rsidRPr="00F320B6">
        <w:rPr>
          <w:rFonts w:ascii="Calibri" w:eastAsia="Calibri" w:hAnsi="Calibri" w:cs="Calibri"/>
          <w:b/>
          <w:sz w:val="22"/>
          <w:szCs w:val="22"/>
        </w:rPr>
        <w:t xml:space="preserve"> </w:t>
      </w:r>
      <w:r w:rsidR="001F5447">
        <w:rPr>
          <w:rFonts w:ascii="Calibri" w:eastAsia="Calibri" w:hAnsi="Calibri" w:cs="Calibri"/>
          <w:sz w:val="22"/>
          <w:szCs w:val="22"/>
        </w:rPr>
        <w:t xml:space="preserve">to be ligature-resistant environments. </w:t>
      </w:r>
      <w:r w:rsidR="00F21DD4">
        <w:rPr>
          <w:rFonts w:ascii="Calibri" w:eastAsia="Calibri" w:hAnsi="Calibri" w:cs="Calibri"/>
          <w:sz w:val="22"/>
          <w:szCs w:val="22"/>
        </w:rPr>
        <w:t>These would include emergency departments.</w:t>
      </w:r>
      <w:r w:rsidR="0049520D">
        <w:rPr>
          <w:rFonts w:ascii="Calibri" w:eastAsia="Calibri" w:hAnsi="Calibri" w:cs="Calibri"/>
          <w:sz w:val="22"/>
          <w:szCs w:val="22"/>
        </w:rPr>
        <w:t xml:space="preserve"> </w:t>
      </w:r>
    </w:p>
    <w:p w14:paraId="68999D49" w14:textId="77777777" w:rsidR="001F5447" w:rsidRDefault="001F5447" w:rsidP="005C4663">
      <w:pPr>
        <w:rPr>
          <w:rFonts w:ascii="Calibri" w:eastAsia="Calibri" w:hAnsi="Calibri" w:cs="Calibri"/>
          <w:sz w:val="22"/>
          <w:szCs w:val="22"/>
        </w:rPr>
      </w:pPr>
    </w:p>
    <w:p w14:paraId="2F348A19" w14:textId="03EBFC25" w:rsidR="00344DBF" w:rsidRPr="00F320B6" w:rsidRDefault="00CC2211" w:rsidP="005C4663">
      <w:pPr>
        <w:rPr>
          <w:rFonts w:ascii="Calibri" w:eastAsia="Calibri" w:hAnsi="Calibri" w:cs="Calibri"/>
          <w:bCs/>
          <w:sz w:val="22"/>
          <w:szCs w:val="22"/>
        </w:rPr>
      </w:pPr>
      <w:r w:rsidRPr="007E24A3">
        <w:rPr>
          <w:rFonts w:ascii="Calibri" w:eastAsia="Calibri" w:hAnsi="Calibri" w:cs="Calibri"/>
          <w:b/>
          <w:bCs/>
          <w:sz w:val="22"/>
          <w:szCs w:val="22"/>
        </w:rPr>
        <w:t xml:space="preserve">CHA </w:t>
      </w:r>
      <w:r w:rsidR="00ED4039" w:rsidRPr="007E24A3">
        <w:rPr>
          <w:rFonts w:ascii="Calibri" w:eastAsia="Calibri" w:hAnsi="Calibri" w:cs="Calibri"/>
          <w:b/>
          <w:bCs/>
          <w:sz w:val="22"/>
          <w:szCs w:val="22"/>
        </w:rPr>
        <w:t xml:space="preserve">requests that </w:t>
      </w:r>
      <w:r w:rsidR="000F29A5" w:rsidRPr="007E24A3">
        <w:rPr>
          <w:rFonts w:ascii="Calibri" w:eastAsia="Calibri" w:hAnsi="Calibri" w:cs="Calibri"/>
          <w:b/>
          <w:bCs/>
          <w:sz w:val="22"/>
          <w:szCs w:val="22"/>
        </w:rPr>
        <w:t xml:space="preserve">CMS </w:t>
      </w:r>
      <w:r w:rsidR="00074F33" w:rsidRPr="007E24A3">
        <w:rPr>
          <w:rFonts w:ascii="Calibri" w:eastAsia="Calibri" w:hAnsi="Calibri" w:cs="Calibri"/>
          <w:b/>
          <w:bCs/>
          <w:sz w:val="22"/>
          <w:szCs w:val="22"/>
        </w:rPr>
        <w:t xml:space="preserve">limit </w:t>
      </w:r>
      <w:r w:rsidR="0035640A" w:rsidRPr="007E24A3">
        <w:rPr>
          <w:rFonts w:ascii="Calibri" w:eastAsia="Calibri" w:hAnsi="Calibri" w:cs="Calibri"/>
          <w:b/>
          <w:bCs/>
          <w:sz w:val="22"/>
          <w:szCs w:val="22"/>
        </w:rPr>
        <w:t xml:space="preserve">the scope of ligature resistant requirements </w:t>
      </w:r>
      <w:r w:rsidR="00074F33" w:rsidRPr="007E24A3">
        <w:rPr>
          <w:rFonts w:ascii="Calibri" w:eastAsia="Calibri" w:hAnsi="Calibri" w:cs="Calibri"/>
          <w:b/>
          <w:bCs/>
          <w:sz w:val="22"/>
          <w:szCs w:val="22"/>
        </w:rPr>
        <w:t xml:space="preserve">to </w:t>
      </w:r>
      <w:r w:rsidR="0035640A" w:rsidRPr="007E24A3">
        <w:rPr>
          <w:rFonts w:ascii="Calibri" w:eastAsia="Calibri" w:hAnsi="Calibri" w:cs="Calibri"/>
          <w:b/>
          <w:bCs/>
          <w:sz w:val="22"/>
          <w:szCs w:val="22"/>
        </w:rPr>
        <w:t>locked psychiatric units within psychiatric and acute care hospitals</w:t>
      </w:r>
      <w:r w:rsidR="007E7D8D" w:rsidRPr="007E24A3">
        <w:rPr>
          <w:rFonts w:ascii="Calibri" w:eastAsia="Calibri" w:hAnsi="Calibri" w:cs="Calibri"/>
          <w:b/>
          <w:bCs/>
          <w:sz w:val="22"/>
          <w:szCs w:val="22"/>
        </w:rPr>
        <w:t>,</w:t>
      </w:r>
      <w:r w:rsidR="00441BBE" w:rsidRPr="007E24A3">
        <w:rPr>
          <w:rFonts w:ascii="Calibri" w:eastAsia="Calibri" w:hAnsi="Calibri" w:cs="Calibri"/>
          <w:b/>
          <w:bCs/>
          <w:sz w:val="22"/>
          <w:szCs w:val="22"/>
        </w:rPr>
        <w:t xml:space="preserve"> and remove references to the </w:t>
      </w:r>
      <w:r w:rsidR="00056F34" w:rsidRPr="007E24A3">
        <w:rPr>
          <w:rFonts w:ascii="Calibri" w:eastAsia="Calibri" w:hAnsi="Calibri" w:cs="Calibri"/>
          <w:b/>
          <w:bCs/>
          <w:sz w:val="22"/>
          <w:szCs w:val="22"/>
        </w:rPr>
        <w:t>emergency department,</w:t>
      </w:r>
      <w:r w:rsidR="00441BBE" w:rsidRPr="007E24A3">
        <w:rPr>
          <w:rFonts w:ascii="Calibri" w:eastAsia="Calibri" w:hAnsi="Calibri" w:cs="Calibri"/>
          <w:b/>
          <w:bCs/>
          <w:sz w:val="22"/>
          <w:szCs w:val="22"/>
        </w:rPr>
        <w:t xml:space="preserve"> as noted</w:t>
      </w:r>
      <w:r w:rsidR="00056F34" w:rsidRPr="007E24A3">
        <w:rPr>
          <w:rFonts w:ascii="Calibri" w:eastAsia="Calibri" w:hAnsi="Calibri" w:cs="Calibri"/>
          <w:b/>
          <w:bCs/>
          <w:sz w:val="22"/>
          <w:szCs w:val="22"/>
        </w:rPr>
        <w:t>,</w:t>
      </w:r>
      <w:r w:rsidR="00441BBE" w:rsidRPr="007E24A3">
        <w:rPr>
          <w:rFonts w:ascii="Calibri" w:eastAsia="Calibri" w:hAnsi="Calibri" w:cs="Calibri"/>
          <w:b/>
          <w:bCs/>
          <w:sz w:val="22"/>
          <w:szCs w:val="22"/>
        </w:rPr>
        <w:t xml:space="preserve"> on </w:t>
      </w:r>
      <w:r w:rsidR="002A0D43" w:rsidRPr="007E24A3">
        <w:rPr>
          <w:rFonts w:ascii="Calibri" w:eastAsia="Calibri" w:hAnsi="Calibri" w:cs="Calibri"/>
          <w:b/>
          <w:bCs/>
          <w:sz w:val="22"/>
          <w:szCs w:val="22"/>
        </w:rPr>
        <w:t xml:space="preserve">pages 8 </w:t>
      </w:r>
      <w:r w:rsidR="002A0D43" w:rsidRPr="005B78CD">
        <w:rPr>
          <w:rFonts w:ascii="Calibri" w:eastAsia="Calibri" w:hAnsi="Calibri" w:cs="Calibri"/>
          <w:b/>
          <w:bCs/>
          <w:sz w:val="22"/>
          <w:szCs w:val="22"/>
        </w:rPr>
        <w:t>and 9</w:t>
      </w:r>
      <w:r w:rsidR="0035640A" w:rsidRPr="005B78CD">
        <w:rPr>
          <w:rFonts w:ascii="Calibri" w:eastAsia="Calibri" w:hAnsi="Calibri" w:cs="Calibri"/>
          <w:b/>
          <w:bCs/>
          <w:sz w:val="22"/>
          <w:szCs w:val="22"/>
        </w:rPr>
        <w:t xml:space="preserve">. </w:t>
      </w:r>
      <w:r w:rsidR="007E24A3" w:rsidRPr="005B78CD">
        <w:rPr>
          <w:rFonts w:ascii="Calibri" w:eastAsia="Calibri" w:hAnsi="Calibri" w:cs="Calibri"/>
          <w:sz w:val="22"/>
          <w:szCs w:val="22"/>
        </w:rPr>
        <w:t>Language in the guidance that focuses on the patient’s needs, rather than the setting in which care is provided, will provide greater clarity for surveyors and clear expectations for providers. Further, th</w:t>
      </w:r>
      <w:r w:rsidR="0035640A" w:rsidRPr="005B78CD">
        <w:rPr>
          <w:rFonts w:ascii="Calibri" w:eastAsia="Calibri" w:hAnsi="Calibri" w:cs="Calibri"/>
          <w:bCs/>
          <w:sz w:val="22"/>
          <w:szCs w:val="22"/>
        </w:rPr>
        <w:t>is</w:t>
      </w:r>
      <w:r w:rsidR="007E24A3" w:rsidRPr="005B78CD">
        <w:rPr>
          <w:rFonts w:ascii="Calibri" w:eastAsia="Calibri" w:hAnsi="Calibri" w:cs="Calibri"/>
          <w:bCs/>
          <w:sz w:val="22"/>
          <w:szCs w:val="22"/>
        </w:rPr>
        <w:t xml:space="preserve"> change</w:t>
      </w:r>
      <w:r w:rsidR="0035640A" w:rsidRPr="005B78CD">
        <w:rPr>
          <w:rFonts w:ascii="Calibri" w:eastAsia="Calibri" w:hAnsi="Calibri" w:cs="Calibri"/>
          <w:bCs/>
          <w:sz w:val="22"/>
          <w:szCs w:val="22"/>
        </w:rPr>
        <w:t xml:space="preserve"> would</w:t>
      </w:r>
      <w:r w:rsidR="0035640A" w:rsidRPr="00F320B6">
        <w:rPr>
          <w:rFonts w:ascii="Calibri" w:eastAsia="Calibri" w:hAnsi="Calibri" w:cs="Calibri"/>
          <w:bCs/>
          <w:sz w:val="22"/>
          <w:szCs w:val="22"/>
        </w:rPr>
        <w:t xml:space="preserve"> establish a bright line</w:t>
      </w:r>
      <w:r w:rsidR="00074F33" w:rsidRPr="00F320B6">
        <w:rPr>
          <w:rFonts w:ascii="Calibri" w:eastAsia="Calibri" w:hAnsi="Calibri" w:cs="Calibri"/>
          <w:bCs/>
          <w:sz w:val="22"/>
          <w:szCs w:val="22"/>
        </w:rPr>
        <w:t xml:space="preserve"> between locked and unlocked units</w:t>
      </w:r>
      <w:r w:rsidR="00441BBE" w:rsidRPr="00F320B6">
        <w:rPr>
          <w:rFonts w:ascii="Calibri" w:eastAsia="Calibri" w:hAnsi="Calibri" w:cs="Calibri"/>
          <w:bCs/>
          <w:sz w:val="22"/>
          <w:szCs w:val="22"/>
        </w:rPr>
        <w:t>, regardless of the location</w:t>
      </w:r>
      <w:r w:rsidR="007E7D8D" w:rsidRPr="00F320B6">
        <w:rPr>
          <w:rFonts w:ascii="Calibri" w:eastAsia="Calibri" w:hAnsi="Calibri" w:cs="Calibri"/>
          <w:bCs/>
          <w:sz w:val="22"/>
          <w:szCs w:val="22"/>
        </w:rPr>
        <w:t>,</w:t>
      </w:r>
      <w:r w:rsidR="0035640A" w:rsidRPr="00F320B6">
        <w:rPr>
          <w:rFonts w:ascii="Calibri" w:eastAsia="Calibri" w:hAnsi="Calibri" w:cs="Calibri"/>
          <w:bCs/>
          <w:sz w:val="22"/>
          <w:szCs w:val="22"/>
        </w:rPr>
        <w:t xml:space="preserve"> so that hospitals can consistently and thoroughly comply. This would still require </w:t>
      </w:r>
      <w:r w:rsidR="00E93AF1" w:rsidRPr="00F320B6">
        <w:rPr>
          <w:rFonts w:ascii="Calibri" w:eastAsia="Calibri" w:hAnsi="Calibri" w:cs="Calibri"/>
          <w:bCs/>
          <w:sz w:val="22"/>
          <w:szCs w:val="22"/>
        </w:rPr>
        <w:t>emergency departments</w:t>
      </w:r>
      <w:r w:rsidR="0035640A" w:rsidRPr="00F320B6">
        <w:rPr>
          <w:rFonts w:ascii="Calibri" w:eastAsia="Calibri" w:hAnsi="Calibri" w:cs="Calibri"/>
          <w:bCs/>
          <w:sz w:val="22"/>
          <w:szCs w:val="22"/>
        </w:rPr>
        <w:t xml:space="preserve"> and</w:t>
      </w:r>
      <w:r w:rsidR="00E93AF1" w:rsidRPr="00F320B6">
        <w:rPr>
          <w:rFonts w:ascii="Calibri" w:eastAsia="Calibri" w:hAnsi="Calibri" w:cs="Calibri"/>
          <w:bCs/>
          <w:sz w:val="22"/>
          <w:szCs w:val="22"/>
        </w:rPr>
        <w:t xml:space="preserve"> all other </w:t>
      </w:r>
      <w:r w:rsidR="00074F33" w:rsidRPr="00F320B6">
        <w:rPr>
          <w:rFonts w:ascii="Calibri" w:eastAsia="Calibri" w:hAnsi="Calibri" w:cs="Calibri"/>
          <w:bCs/>
          <w:sz w:val="22"/>
          <w:szCs w:val="22"/>
        </w:rPr>
        <w:t xml:space="preserve">unlocked </w:t>
      </w:r>
      <w:r w:rsidR="00E93AF1" w:rsidRPr="00F320B6">
        <w:rPr>
          <w:rFonts w:ascii="Calibri" w:eastAsia="Calibri" w:hAnsi="Calibri" w:cs="Calibri"/>
          <w:bCs/>
          <w:sz w:val="22"/>
          <w:szCs w:val="22"/>
        </w:rPr>
        <w:t>areas of hospitals,</w:t>
      </w:r>
      <w:r w:rsidR="000F29A5" w:rsidRPr="00F320B6">
        <w:rPr>
          <w:rFonts w:ascii="Calibri" w:eastAsia="Calibri" w:hAnsi="Calibri" w:cs="Calibri"/>
          <w:bCs/>
          <w:sz w:val="22"/>
          <w:szCs w:val="22"/>
        </w:rPr>
        <w:t xml:space="preserve"> as outlined in the guidance, </w:t>
      </w:r>
      <w:r w:rsidR="0035640A" w:rsidRPr="00F320B6">
        <w:rPr>
          <w:rFonts w:ascii="Calibri" w:eastAsia="Calibri" w:hAnsi="Calibri" w:cs="Calibri"/>
          <w:bCs/>
          <w:sz w:val="22"/>
          <w:szCs w:val="22"/>
        </w:rPr>
        <w:t>to</w:t>
      </w:r>
      <w:r w:rsidR="000F29A5" w:rsidRPr="00F320B6">
        <w:rPr>
          <w:rFonts w:ascii="Calibri" w:eastAsia="Calibri" w:hAnsi="Calibri" w:cs="Calibri"/>
          <w:bCs/>
          <w:sz w:val="22"/>
          <w:szCs w:val="22"/>
        </w:rPr>
        <w:t xml:space="preserve"> take steps</w:t>
      </w:r>
      <w:r w:rsidR="00596A07">
        <w:rPr>
          <w:rFonts w:ascii="Calibri" w:eastAsia="Calibri" w:hAnsi="Calibri" w:cs="Calibri"/>
          <w:bCs/>
          <w:sz w:val="22"/>
          <w:szCs w:val="22"/>
        </w:rPr>
        <w:t>,</w:t>
      </w:r>
      <w:r w:rsidR="000F29A5" w:rsidRPr="00F320B6">
        <w:rPr>
          <w:rFonts w:ascii="Calibri" w:eastAsia="Calibri" w:hAnsi="Calibri" w:cs="Calibri"/>
          <w:bCs/>
          <w:sz w:val="22"/>
          <w:szCs w:val="22"/>
        </w:rPr>
        <w:t xml:space="preserve"> </w:t>
      </w:r>
      <w:r w:rsidR="007E7D8D" w:rsidRPr="00F320B6">
        <w:rPr>
          <w:rFonts w:ascii="Calibri" w:eastAsia="Calibri" w:hAnsi="Calibri" w:cs="Calibri"/>
          <w:bCs/>
          <w:sz w:val="22"/>
          <w:szCs w:val="22"/>
        </w:rPr>
        <w:t>in accordance with nationally recognized standards and guidelines</w:t>
      </w:r>
      <w:r w:rsidR="00596A07">
        <w:rPr>
          <w:rFonts w:ascii="Calibri" w:eastAsia="Calibri" w:hAnsi="Calibri" w:cs="Calibri"/>
          <w:bCs/>
          <w:sz w:val="22"/>
          <w:szCs w:val="22"/>
        </w:rPr>
        <w:t>,</w:t>
      </w:r>
      <w:r w:rsidR="007E7D8D" w:rsidRPr="00F320B6">
        <w:rPr>
          <w:rFonts w:ascii="Calibri" w:eastAsia="Calibri" w:hAnsi="Calibri" w:cs="Calibri"/>
          <w:bCs/>
          <w:sz w:val="22"/>
          <w:szCs w:val="22"/>
        </w:rPr>
        <w:t xml:space="preserve"> </w:t>
      </w:r>
      <w:r w:rsidR="000F29A5" w:rsidRPr="00F320B6">
        <w:rPr>
          <w:rFonts w:ascii="Calibri" w:eastAsia="Calibri" w:hAnsi="Calibri" w:cs="Calibri"/>
          <w:bCs/>
          <w:sz w:val="22"/>
          <w:szCs w:val="22"/>
        </w:rPr>
        <w:t xml:space="preserve">to protect patients </w:t>
      </w:r>
      <w:r w:rsidR="007E7D8D" w:rsidRPr="00F320B6">
        <w:rPr>
          <w:rFonts w:ascii="Calibri" w:eastAsia="Calibri" w:hAnsi="Calibri" w:cs="Calibri"/>
          <w:bCs/>
          <w:sz w:val="22"/>
          <w:szCs w:val="22"/>
        </w:rPr>
        <w:t xml:space="preserve">who pose a </w:t>
      </w:r>
      <w:r w:rsidR="000F29A5" w:rsidRPr="00F320B6">
        <w:rPr>
          <w:rFonts w:ascii="Calibri" w:eastAsia="Calibri" w:hAnsi="Calibri" w:cs="Calibri"/>
          <w:bCs/>
          <w:sz w:val="22"/>
          <w:szCs w:val="22"/>
        </w:rPr>
        <w:t xml:space="preserve">threat of harm to </w:t>
      </w:r>
      <w:r w:rsidR="007E7D8D" w:rsidRPr="00F320B6">
        <w:rPr>
          <w:rFonts w:ascii="Calibri" w:eastAsia="Calibri" w:hAnsi="Calibri" w:cs="Calibri"/>
          <w:bCs/>
          <w:sz w:val="22"/>
          <w:szCs w:val="22"/>
        </w:rPr>
        <w:t>them</w:t>
      </w:r>
      <w:r w:rsidR="000F29A5" w:rsidRPr="00F320B6">
        <w:rPr>
          <w:rFonts w:ascii="Calibri" w:eastAsia="Calibri" w:hAnsi="Calibri" w:cs="Calibri"/>
          <w:bCs/>
          <w:sz w:val="22"/>
          <w:szCs w:val="22"/>
        </w:rPr>
        <w:t>sel</w:t>
      </w:r>
      <w:r w:rsidR="007E7D8D" w:rsidRPr="00F320B6">
        <w:rPr>
          <w:rFonts w:ascii="Calibri" w:eastAsia="Calibri" w:hAnsi="Calibri" w:cs="Calibri"/>
          <w:bCs/>
          <w:sz w:val="22"/>
          <w:szCs w:val="22"/>
        </w:rPr>
        <w:t>ves</w:t>
      </w:r>
      <w:r w:rsidR="000F29A5" w:rsidRPr="00F320B6">
        <w:rPr>
          <w:rFonts w:ascii="Calibri" w:eastAsia="Calibri" w:hAnsi="Calibri" w:cs="Calibri"/>
          <w:bCs/>
          <w:sz w:val="22"/>
          <w:szCs w:val="22"/>
        </w:rPr>
        <w:t xml:space="preserve"> or others. </w:t>
      </w:r>
    </w:p>
    <w:p w14:paraId="291309A6" w14:textId="65772145" w:rsidR="00344DBF" w:rsidRPr="00F320B6" w:rsidRDefault="00344DBF" w:rsidP="005C4663">
      <w:pPr>
        <w:rPr>
          <w:rFonts w:ascii="Calibri" w:eastAsia="Calibri" w:hAnsi="Calibri" w:cs="Calibri"/>
          <w:bCs/>
          <w:sz w:val="22"/>
          <w:szCs w:val="22"/>
        </w:rPr>
      </w:pPr>
    </w:p>
    <w:p w14:paraId="4A9E9374" w14:textId="0752A718" w:rsidR="000C5B13" w:rsidRPr="00344DBF" w:rsidRDefault="00EE1D02" w:rsidP="000C5B13">
      <w:pPr>
        <w:rPr>
          <w:rFonts w:ascii="Calibri" w:eastAsia="Calibri" w:hAnsi="Calibri" w:cs="Calibri"/>
          <w:i/>
          <w:iCs/>
          <w:sz w:val="22"/>
          <w:szCs w:val="22"/>
        </w:rPr>
      </w:pPr>
      <w:r>
        <w:rPr>
          <w:rFonts w:ascii="Calibri" w:eastAsia="Calibri" w:hAnsi="Calibri" w:cs="Calibri"/>
          <w:i/>
          <w:iCs/>
          <w:sz w:val="22"/>
          <w:szCs w:val="22"/>
        </w:rPr>
        <w:t xml:space="preserve">Confirm </w:t>
      </w:r>
      <w:r w:rsidR="000C5B13">
        <w:rPr>
          <w:rFonts w:ascii="Calibri" w:eastAsia="Calibri" w:hAnsi="Calibri" w:cs="Calibri"/>
          <w:i/>
          <w:iCs/>
          <w:sz w:val="22"/>
          <w:szCs w:val="22"/>
        </w:rPr>
        <w:t xml:space="preserve">Applicability to Detention </w:t>
      </w:r>
      <w:r w:rsidR="008A7C01">
        <w:rPr>
          <w:rFonts w:ascii="Calibri" w:eastAsia="Calibri" w:hAnsi="Calibri" w:cs="Calibri"/>
          <w:i/>
          <w:iCs/>
          <w:sz w:val="22"/>
          <w:szCs w:val="22"/>
        </w:rPr>
        <w:t xml:space="preserve">Care </w:t>
      </w:r>
      <w:r w:rsidR="000C5B13">
        <w:rPr>
          <w:rFonts w:ascii="Calibri" w:eastAsia="Calibri" w:hAnsi="Calibri" w:cs="Calibri"/>
          <w:i/>
          <w:iCs/>
          <w:sz w:val="22"/>
          <w:szCs w:val="22"/>
        </w:rPr>
        <w:t>Units</w:t>
      </w:r>
    </w:p>
    <w:p w14:paraId="408BB0EB" w14:textId="633121F4" w:rsidR="000C5B13" w:rsidRPr="00344DBF" w:rsidRDefault="00EE1D02" w:rsidP="000C5B13">
      <w:pPr>
        <w:rPr>
          <w:rFonts w:ascii="Calibri" w:eastAsia="Calibri" w:hAnsi="Calibri" w:cs="Calibri"/>
          <w:sz w:val="22"/>
          <w:szCs w:val="22"/>
        </w:rPr>
      </w:pPr>
      <w:r>
        <w:rPr>
          <w:rFonts w:ascii="Calibri" w:eastAsia="Calibri" w:hAnsi="Calibri" w:cs="Calibri"/>
          <w:sz w:val="22"/>
          <w:szCs w:val="22"/>
        </w:rPr>
        <w:t>S</w:t>
      </w:r>
      <w:r w:rsidR="000C5B13">
        <w:rPr>
          <w:rFonts w:ascii="Calibri" w:eastAsia="Calibri" w:hAnsi="Calibri" w:cs="Calibri"/>
          <w:sz w:val="22"/>
          <w:szCs w:val="22"/>
        </w:rPr>
        <w:t xml:space="preserve">ome of our acute care hospitals have </w:t>
      </w:r>
      <w:r>
        <w:rPr>
          <w:rFonts w:ascii="Calibri" w:eastAsia="Calibri" w:hAnsi="Calibri" w:cs="Calibri"/>
          <w:sz w:val="22"/>
          <w:szCs w:val="22"/>
        </w:rPr>
        <w:t xml:space="preserve">dedicated detention </w:t>
      </w:r>
      <w:r w:rsidR="000C5B13">
        <w:rPr>
          <w:rFonts w:ascii="Calibri" w:eastAsia="Calibri" w:hAnsi="Calibri" w:cs="Calibri"/>
          <w:sz w:val="22"/>
          <w:szCs w:val="22"/>
        </w:rPr>
        <w:t xml:space="preserve">care units that provide care </w:t>
      </w:r>
      <w:r>
        <w:rPr>
          <w:rFonts w:ascii="Calibri" w:eastAsia="Calibri" w:hAnsi="Calibri" w:cs="Calibri"/>
          <w:sz w:val="22"/>
          <w:szCs w:val="22"/>
        </w:rPr>
        <w:t xml:space="preserve">only </w:t>
      </w:r>
      <w:r w:rsidR="000C5B13">
        <w:rPr>
          <w:rFonts w:ascii="Calibri" w:eastAsia="Calibri" w:hAnsi="Calibri" w:cs="Calibri"/>
          <w:sz w:val="22"/>
          <w:szCs w:val="22"/>
        </w:rPr>
        <w:t>to incarcerated individuals.</w:t>
      </w:r>
      <w:r w:rsidR="007B6B99">
        <w:rPr>
          <w:rFonts w:ascii="Calibri" w:eastAsia="Calibri" w:hAnsi="Calibri" w:cs="Calibri"/>
          <w:sz w:val="22"/>
          <w:szCs w:val="22"/>
        </w:rPr>
        <w:t xml:space="preserve"> </w:t>
      </w:r>
      <w:r w:rsidR="008A7C01" w:rsidRPr="00F320B6">
        <w:rPr>
          <w:rFonts w:ascii="Calibri" w:eastAsia="Calibri" w:hAnsi="Calibri" w:cs="Calibri"/>
          <w:b/>
          <w:bCs/>
          <w:sz w:val="22"/>
          <w:szCs w:val="22"/>
        </w:rPr>
        <w:t xml:space="preserve">Detention care </w:t>
      </w:r>
      <w:r w:rsidR="000C5B13" w:rsidRPr="008A7C01">
        <w:rPr>
          <w:rFonts w:ascii="Calibri" w:eastAsia="Calibri" w:hAnsi="Calibri" w:cs="Calibri"/>
          <w:b/>
          <w:bCs/>
          <w:sz w:val="22"/>
          <w:szCs w:val="22"/>
        </w:rPr>
        <w:t xml:space="preserve">units are not </w:t>
      </w:r>
      <w:r w:rsidR="007B6B99" w:rsidRPr="008A7C01">
        <w:rPr>
          <w:rFonts w:ascii="Calibri" w:eastAsia="Calibri" w:hAnsi="Calibri" w:cs="Calibri"/>
          <w:b/>
          <w:bCs/>
          <w:sz w:val="22"/>
          <w:szCs w:val="22"/>
        </w:rPr>
        <w:t xml:space="preserve">certified </w:t>
      </w:r>
      <w:bookmarkStart w:id="0" w:name="_GoBack"/>
      <w:bookmarkEnd w:id="0"/>
      <w:r w:rsidR="007B6B99" w:rsidRPr="008A7C01">
        <w:rPr>
          <w:rFonts w:ascii="Calibri" w:eastAsia="Calibri" w:hAnsi="Calibri" w:cs="Calibri"/>
          <w:b/>
          <w:bCs/>
          <w:sz w:val="22"/>
          <w:szCs w:val="22"/>
        </w:rPr>
        <w:t>under Medicare</w:t>
      </w:r>
      <w:r w:rsidRPr="00F320B6">
        <w:rPr>
          <w:rFonts w:ascii="Calibri" w:eastAsia="Calibri" w:hAnsi="Calibri" w:cs="Calibri"/>
          <w:b/>
          <w:bCs/>
          <w:sz w:val="22"/>
          <w:szCs w:val="22"/>
        </w:rPr>
        <w:t xml:space="preserve">. As such, </w:t>
      </w:r>
      <w:r w:rsidR="000C5B13" w:rsidRPr="00F320B6">
        <w:rPr>
          <w:rFonts w:ascii="Calibri" w:eastAsia="Calibri" w:hAnsi="Calibri" w:cs="Calibri"/>
          <w:b/>
          <w:bCs/>
          <w:sz w:val="22"/>
          <w:szCs w:val="22"/>
        </w:rPr>
        <w:t>we would not anticipate that they would be subject to these requirements</w:t>
      </w:r>
      <w:r w:rsidR="000C5B13" w:rsidRPr="00344DBF">
        <w:rPr>
          <w:rFonts w:ascii="Calibri" w:eastAsia="Calibri" w:hAnsi="Calibri" w:cs="Calibri"/>
          <w:b/>
          <w:bCs/>
          <w:sz w:val="22"/>
          <w:szCs w:val="22"/>
        </w:rPr>
        <w:t>. CHA would appreciate confirmation of this interpretation.</w:t>
      </w:r>
      <w:r w:rsidR="000C5B13">
        <w:rPr>
          <w:rFonts w:ascii="Calibri" w:eastAsia="Calibri" w:hAnsi="Calibri" w:cs="Calibri"/>
          <w:sz w:val="22"/>
          <w:szCs w:val="22"/>
        </w:rPr>
        <w:t xml:space="preserve"> </w:t>
      </w:r>
      <w:r w:rsidR="007B6B99">
        <w:rPr>
          <w:rFonts w:ascii="Calibri" w:eastAsia="Calibri" w:hAnsi="Calibri" w:cs="Calibri"/>
          <w:sz w:val="22"/>
          <w:szCs w:val="22"/>
        </w:rPr>
        <w:t>CHA recognizes that other accrediting organizations may set a standard higher than Medicare</w:t>
      </w:r>
      <w:r w:rsidR="003477C2">
        <w:rPr>
          <w:rFonts w:ascii="Calibri" w:eastAsia="Calibri" w:hAnsi="Calibri" w:cs="Calibri"/>
          <w:sz w:val="22"/>
          <w:szCs w:val="22"/>
        </w:rPr>
        <w:t>’s</w:t>
      </w:r>
      <w:r w:rsidR="007B6B99">
        <w:rPr>
          <w:rFonts w:ascii="Calibri" w:eastAsia="Calibri" w:hAnsi="Calibri" w:cs="Calibri"/>
          <w:sz w:val="22"/>
          <w:szCs w:val="22"/>
        </w:rPr>
        <w:t>, and appreciate</w:t>
      </w:r>
      <w:r w:rsidR="003477C2">
        <w:rPr>
          <w:rFonts w:ascii="Calibri" w:eastAsia="Calibri" w:hAnsi="Calibri" w:cs="Calibri"/>
          <w:sz w:val="22"/>
          <w:szCs w:val="22"/>
        </w:rPr>
        <w:t>s</w:t>
      </w:r>
      <w:r w:rsidR="007B6B99">
        <w:rPr>
          <w:rFonts w:ascii="Calibri" w:eastAsia="Calibri" w:hAnsi="Calibri" w:cs="Calibri"/>
          <w:sz w:val="22"/>
          <w:szCs w:val="22"/>
        </w:rPr>
        <w:t xml:space="preserve"> CMS</w:t>
      </w:r>
      <w:r w:rsidR="003477C2">
        <w:rPr>
          <w:rFonts w:ascii="Calibri" w:eastAsia="Calibri" w:hAnsi="Calibri" w:cs="Calibri"/>
          <w:sz w:val="22"/>
          <w:szCs w:val="22"/>
        </w:rPr>
        <w:t>’</w:t>
      </w:r>
      <w:r w:rsidR="007B6B99">
        <w:rPr>
          <w:rFonts w:ascii="Calibri" w:eastAsia="Calibri" w:hAnsi="Calibri" w:cs="Calibri"/>
          <w:sz w:val="22"/>
          <w:szCs w:val="22"/>
        </w:rPr>
        <w:t xml:space="preserve"> consideration of additional language </w:t>
      </w:r>
      <w:r w:rsidR="00CD1CF3">
        <w:rPr>
          <w:rFonts w:ascii="Calibri" w:eastAsia="Calibri" w:hAnsi="Calibri" w:cs="Calibri"/>
          <w:sz w:val="22"/>
          <w:szCs w:val="22"/>
        </w:rPr>
        <w:t xml:space="preserve">to </w:t>
      </w:r>
      <w:r w:rsidR="007B6B99">
        <w:rPr>
          <w:rFonts w:ascii="Calibri" w:eastAsia="Calibri" w:hAnsi="Calibri" w:cs="Calibri"/>
          <w:sz w:val="22"/>
          <w:szCs w:val="22"/>
        </w:rPr>
        <w:t xml:space="preserve">promote clarity and understanding. </w:t>
      </w:r>
    </w:p>
    <w:p w14:paraId="26444C54" w14:textId="77777777" w:rsidR="000C5B13" w:rsidRDefault="000C5B13" w:rsidP="005C4663">
      <w:pPr>
        <w:rPr>
          <w:rFonts w:ascii="Calibri" w:eastAsia="Calibri" w:hAnsi="Calibri" w:cs="Calibri"/>
          <w:b/>
          <w:bCs/>
          <w:sz w:val="22"/>
          <w:szCs w:val="22"/>
        </w:rPr>
      </w:pPr>
    </w:p>
    <w:p w14:paraId="66657B36" w14:textId="35B3EA4A" w:rsidR="00D5656A" w:rsidRPr="00D5656A" w:rsidRDefault="003477C2" w:rsidP="00D5656A">
      <w:pPr>
        <w:rPr>
          <w:rFonts w:ascii="Calibri" w:eastAsia="Calibri" w:hAnsi="Calibri" w:cs="Calibri"/>
          <w:i/>
          <w:iCs/>
          <w:sz w:val="22"/>
          <w:szCs w:val="22"/>
        </w:rPr>
      </w:pPr>
      <w:r>
        <w:rPr>
          <w:rFonts w:ascii="Calibri" w:eastAsia="Calibri" w:hAnsi="Calibri" w:cs="Calibri"/>
          <w:i/>
          <w:iCs/>
          <w:sz w:val="22"/>
          <w:szCs w:val="22"/>
        </w:rPr>
        <w:t xml:space="preserve">Develop </w:t>
      </w:r>
      <w:r w:rsidR="00D5656A" w:rsidRPr="00D5656A">
        <w:rPr>
          <w:rFonts w:ascii="Calibri" w:eastAsia="Calibri" w:hAnsi="Calibri" w:cs="Calibri"/>
          <w:i/>
          <w:iCs/>
          <w:sz w:val="22"/>
          <w:szCs w:val="22"/>
        </w:rPr>
        <w:t>Surveyor Education on Changes to Surveyor Procedures</w:t>
      </w:r>
    </w:p>
    <w:p w14:paraId="5E34A5ED" w14:textId="7AE870D8" w:rsidR="00D5656A" w:rsidRPr="00D5656A" w:rsidRDefault="00D5656A" w:rsidP="00D5656A">
      <w:pPr>
        <w:rPr>
          <w:rFonts w:ascii="Calibri" w:eastAsia="Calibri" w:hAnsi="Calibri" w:cs="Calibri"/>
          <w:b/>
          <w:bCs/>
          <w:iCs/>
          <w:sz w:val="22"/>
          <w:szCs w:val="22"/>
        </w:rPr>
      </w:pPr>
      <w:r w:rsidRPr="00D5656A">
        <w:rPr>
          <w:rFonts w:ascii="Calibri" w:eastAsia="Calibri" w:hAnsi="Calibri" w:cs="Calibri"/>
          <w:iCs/>
          <w:sz w:val="22"/>
          <w:szCs w:val="22"/>
        </w:rPr>
        <w:t xml:space="preserve">This revised guidance includes several changes to surveyor procedures, including requiring surveyors to: review hospital policy/procedures and interview staff on how the hospital initially and routinely trains staff, review policy/procedures and interview staff to determine how the hospital defines 1:1 video </w:t>
      </w:r>
      <w:r w:rsidRPr="00D5656A">
        <w:rPr>
          <w:rFonts w:ascii="Calibri" w:eastAsia="Calibri" w:hAnsi="Calibri" w:cs="Calibri"/>
          <w:iCs/>
          <w:sz w:val="22"/>
          <w:szCs w:val="22"/>
        </w:rPr>
        <w:lastRenderedPageBreak/>
        <w:t xml:space="preserve">monitoring and continuous observation, and verify that a policy exists to assess and reassess patients </w:t>
      </w:r>
      <w:r w:rsidR="003477C2">
        <w:rPr>
          <w:rFonts w:ascii="Calibri" w:eastAsia="Calibri" w:hAnsi="Calibri" w:cs="Calibri"/>
          <w:iCs/>
          <w:sz w:val="22"/>
          <w:szCs w:val="22"/>
        </w:rPr>
        <w:t>who</w:t>
      </w:r>
      <w:r w:rsidR="003477C2" w:rsidRPr="00D5656A">
        <w:rPr>
          <w:rFonts w:ascii="Calibri" w:eastAsia="Calibri" w:hAnsi="Calibri" w:cs="Calibri"/>
          <w:iCs/>
          <w:sz w:val="22"/>
          <w:szCs w:val="22"/>
        </w:rPr>
        <w:t xml:space="preserve"> </w:t>
      </w:r>
      <w:r w:rsidRPr="00D5656A">
        <w:rPr>
          <w:rFonts w:ascii="Calibri" w:eastAsia="Calibri" w:hAnsi="Calibri" w:cs="Calibri"/>
          <w:iCs/>
          <w:sz w:val="22"/>
          <w:szCs w:val="22"/>
        </w:rPr>
        <w:t xml:space="preserve">have been identified as being at risk for suicide or harm to self or others. </w:t>
      </w:r>
      <w:r w:rsidRPr="00D5656A">
        <w:rPr>
          <w:rFonts w:ascii="Calibri" w:eastAsia="Calibri" w:hAnsi="Calibri" w:cs="Calibri"/>
          <w:b/>
          <w:bCs/>
          <w:iCs/>
          <w:sz w:val="22"/>
          <w:szCs w:val="22"/>
        </w:rPr>
        <w:t xml:space="preserve">CHA urges </w:t>
      </w:r>
      <w:r w:rsidR="00B8575F">
        <w:rPr>
          <w:rFonts w:ascii="Calibri" w:eastAsia="Calibri" w:hAnsi="Calibri" w:cs="Calibri"/>
          <w:b/>
          <w:bCs/>
          <w:iCs/>
          <w:sz w:val="22"/>
          <w:szCs w:val="22"/>
        </w:rPr>
        <w:t xml:space="preserve">CMS to develop, with stakeholder input, </w:t>
      </w:r>
      <w:r w:rsidRPr="00D5656A">
        <w:rPr>
          <w:rFonts w:ascii="Calibri" w:eastAsia="Calibri" w:hAnsi="Calibri" w:cs="Calibri"/>
          <w:b/>
          <w:bCs/>
          <w:iCs/>
          <w:sz w:val="22"/>
          <w:szCs w:val="22"/>
        </w:rPr>
        <w:t xml:space="preserve">extensive surveyor education on this guidance to ensure </w:t>
      </w:r>
      <w:r w:rsidR="003477C2">
        <w:rPr>
          <w:rFonts w:ascii="Calibri" w:eastAsia="Calibri" w:hAnsi="Calibri" w:cs="Calibri"/>
          <w:b/>
          <w:bCs/>
          <w:iCs/>
          <w:sz w:val="22"/>
          <w:szCs w:val="22"/>
        </w:rPr>
        <w:t xml:space="preserve">requirements are </w:t>
      </w:r>
      <w:r w:rsidRPr="00D5656A">
        <w:rPr>
          <w:rFonts w:ascii="Calibri" w:eastAsia="Calibri" w:hAnsi="Calibri" w:cs="Calibri"/>
          <w:b/>
          <w:bCs/>
          <w:iCs/>
          <w:sz w:val="22"/>
          <w:szCs w:val="22"/>
        </w:rPr>
        <w:t>consistent</w:t>
      </w:r>
      <w:r w:rsidR="003477C2">
        <w:rPr>
          <w:rFonts w:ascii="Calibri" w:eastAsia="Calibri" w:hAnsi="Calibri" w:cs="Calibri"/>
          <w:b/>
          <w:bCs/>
          <w:iCs/>
          <w:sz w:val="22"/>
          <w:szCs w:val="22"/>
        </w:rPr>
        <w:t>ly</w:t>
      </w:r>
      <w:r w:rsidRPr="00D5656A">
        <w:rPr>
          <w:rFonts w:ascii="Calibri" w:eastAsia="Calibri" w:hAnsi="Calibri" w:cs="Calibri"/>
          <w:b/>
          <w:bCs/>
          <w:iCs/>
          <w:sz w:val="22"/>
          <w:szCs w:val="22"/>
        </w:rPr>
        <w:t xml:space="preserve"> and effective</w:t>
      </w:r>
      <w:r w:rsidR="003477C2">
        <w:rPr>
          <w:rFonts w:ascii="Calibri" w:eastAsia="Calibri" w:hAnsi="Calibri" w:cs="Calibri"/>
          <w:b/>
          <w:bCs/>
          <w:iCs/>
          <w:sz w:val="22"/>
          <w:szCs w:val="22"/>
        </w:rPr>
        <w:t>ly interpreted</w:t>
      </w:r>
      <w:r w:rsidRPr="00D5656A">
        <w:rPr>
          <w:rFonts w:ascii="Calibri" w:eastAsia="Calibri" w:hAnsi="Calibri" w:cs="Calibri"/>
          <w:b/>
          <w:bCs/>
          <w:iCs/>
          <w:sz w:val="22"/>
          <w:szCs w:val="22"/>
        </w:rPr>
        <w:t>.</w:t>
      </w:r>
      <w:r>
        <w:rPr>
          <w:rFonts w:ascii="Calibri" w:eastAsia="Calibri" w:hAnsi="Calibri" w:cs="Calibri"/>
          <w:b/>
          <w:bCs/>
          <w:iCs/>
          <w:sz w:val="22"/>
          <w:szCs w:val="22"/>
        </w:rPr>
        <w:t xml:space="preserve"> </w:t>
      </w:r>
      <w:r w:rsidRPr="00F320B6">
        <w:rPr>
          <w:rFonts w:ascii="Calibri" w:eastAsia="Calibri" w:hAnsi="Calibri" w:cs="Calibri"/>
          <w:bCs/>
          <w:iCs/>
          <w:sz w:val="22"/>
          <w:szCs w:val="22"/>
        </w:rPr>
        <w:t>CHA stands ready to work with CMS and other stakeholders to develop and pilot a standardized surveyor tool.</w:t>
      </w:r>
      <w:r w:rsidR="00441BBE" w:rsidRPr="00F320B6">
        <w:rPr>
          <w:rFonts w:ascii="Calibri" w:eastAsia="Calibri" w:hAnsi="Calibri" w:cs="Calibri"/>
          <w:bCs/>
          <w:iCs/>
          <w:sz w:val="22"/>
          <w:szCs w:val="22"/>
        </w:rPr>
        <w:t xml:space="preserve"> </w:t>
      </w:r>
      <w:r w:rsidR="00441BBE">
        <w:rPr>
          <w:rFonts w:ascii="Calibri" w:eastAsia="Calibri" w:hAnsi="Calibri" w:cs="Calibri"/>
          <w:b/>
          <w:bCs/>
          <w:iCs/>
          <w:sz w:val="22"/>
          <w:szCs w:val="22"/>
        </w:rPr>
        <w:t xml:space="preserve">Finally, we urge CMS to provide this education prior to the </w:t>
      </w:r>
      <w:r w:rsidR="003477C2">
        <w:rPr>
          <w:rFonts w:ascii="Calibri" w:eastAsia="Calibri" w:hAnsi="Calibri" w:cs="Calibri"/>
          <w:b/>
          <w:bCs/>
          <w:iCs/>
          <w:sz w:val="22"/>
          <w:szCs w:val="22"/>
        </w:rPr>
        <w:t xml:space="preserve">regulations’ </w:t>
      </w:r>
      <w:r w:rsidR="00441BBE">
        <w:rPr>
          <w:rFonts w:ascii="Calibri" w:eastAsia="Calibri" w:hAnsi="Calibri" w:cs="Calibri"/>
          <w:b/>
          <w:bCs/>
          <w:iCs/>
          <w:sz w:val="22"/>
          <w:szCs w:val="22"/>
        </w:rPr>
        <w:t xml:space="preserve">effective date and give survey agencies time to adequately train staff. Additional oversight of compliance with surveyor training, similar to </w:t>
      </w:r>
      <w:r w:rsidR="003477C2">
        <w:rPr>
          <w:rFonts w:ascii="Calibri" w:eastAsia="Calibri" w:hAnsi="Calibri" w:cs="Calibri"/>
          <w:b/>
          <w:bCs/>
          <w:iCs/>
          <w:sz w:val="22"/>
          <w:szCs w:val="22"/>
        </w:rPr>
        <w:t xml:space="preserve">CMS’ </w:t>
      </w:r>
      <w:r w:rsidR="00441BBE">
        <w:rPr>
          <w:rFonts w:ascii="Calibri" w:eastAsia="Calibri" w:hAnsi="Calibri" w:cs="Calibri"/>
          <w:b/>
          <w:bCs/>
          <w:iCs/>
          <w:sz w:val="22"/>
          <w:szCs w:val="22"/>
        </w:rPr>
        <w:t>oversight of hospital employee training</w:t>
      </w:r>
      <w:r w:rsidR="003477C2">
        <w:rPr>
          <w:rFonts w:ascii="Calibri" w:eastAsia="Calibri" w:hAnsi="Calibri" w:cs="Calibri"/>
          <w:b/>
          <w:bCs/>
          <w:iCs/>
          <w:sz w:val="22"/>
          <w:szCs w:val="22"/>
        </w:rPr>
        <w:t>,</w:t>
      </w:r>
      <w:r w:rsidR="00441BBE">
        <w:rPr>
          <w:rFonts w:ascii="Calibri" w:eastAsia="Calibri" w:hAnsi="Calibri" w:cs="Calibri"/>
          <w:b/>
          <w:bCs/>
          <w:iCs/>
          <w:sz w:val="22"/>
          <w:szCs w:val="22"/>
        </w:rPr>
        <w:t xml:space="preserve"> should remain a priority. </w:t>
      </w:r>
    </w:p>
    <w:p w14:paraId="26632FEE" w14:textId="77777777" w:rsidR="009E026E" w:rsidRDefault="009E026E" w:rsidP="005C4663">
      <w:pPr>
        <w:rPr>
          <w:rFonts w:ascii="Calibri" w:eastAsia="Calibri" w:hAnsi="Calibri" w:cs="Calibri"/>
          <w:sz w:val="22"/>
          <w:szCs w:val="22"/>
        </w:rPr>
      </w:pPr>
    </w:p>
    <w:p w14:paraId="7B813CBB" w14:textId="223E3C13" w:rsidR="005C4663" w:rsidRDefault="005C4663" w:rsidP="005C4663">
      <w:pPr>
        <w:rPr>
          <w:rFonts w:ascii="Calibri" w:eastAsia="Calibri" w:hAnsi="Calibri" w:cs="Calibri"/>
          <w:i/>
          <w:iCs/>
          <w:sz w:val="22"/>
          <w:szCs w:val="22"/>
        </w:rPr>
      </w:pPr>
      <w:r>
        <w:rPr>
          <w:rFonts w:ascii="Calibri" w:eastAsia="Calibri" w:hAnsi="Calibri" w:cs="Calibri"/>
          <w:i/>
          <w:iCs/>
          <w:sz w:val="22"/>
          <w:szCs w:val="22"/>
        </w:rPr>
        <w:t xml:space="preserve">Safety Measures </w:t>
      </w:r>
      <w:r w:rsidR="004C1464">
        <w:rPr>
          <w:rFonts w:ascii="Calibri" w:eastAsia="Calibri" w:hAnsi="Calibri" w:cs="Calibri"/>
          <w:i/>
          <w:iCs/>
          <w:sz w:val="22"/>
          <w:szCs w:val="22"/>
        </w:rPr>
        <w:t>in a Non-Psychiatric and</w:t>
      </w:r>
      <w:r>
        <w:rPr>
          <w:rFonts w:ascii="Calibri" w:eastAsia="Calibri" w:hAnsi="Calibri" w:cs="Calibri"/>
          <w:i/>
          <w:iCs/>
          <w:sz w:val="22"/>
          <w:szCs w:val="22"/>
        </w:rPr>
        <w:t xml:space="preserve"> Unlocked </w:t>
      </w:r>
      <w:r w:rsidR="004C1464">
        <w:rPr>
          <w:rFonts w:ascii="Calibri" w:eastAsia="Calibri" w:hAnsi="Calibri" w:cs="Calibri"/>
          <w:i/>
          <w:iCs/>
          <w:sz w:val="22"/>
          <w:szCs w:val="22"/>
        </w:rPr>
        <w:t>Setting</w:t>
      </w:r>
    </w:p>
    <w:p w14:paraId="09A2A85B" w14:textId="423E10B2" w:rsidR="007B6B99" w:rsidRDefault="00FF7A20" w:rsidP="00805578">
      <w:pPr>
        <w:rPr>
          <w:rFonts w:ascii="Calibri" w:eastAsia="Calibri" w:hAnsi="Calibri" w:cs="Calibri"/>
          <w:b/>
          <w:bCs/>
          <w:sz w:val="22"/>
          <w:szCs w:val="22"/>
        </w:rPr>
      </w:pPr>
      <w:r>
        <w:rPr>
          <w:rFonts w:ascii="Calibri" w:eastAsia="Calibri" w:hAnsi="Calibri" w:cs="Calibri"/>
          <w:sz w:val="22"/>
          <w:szCs w:val="22"/>
        </w:rPr>
        <w:t xml:space="preserve">While ligature resistant requirements do </w:t>
      </w:r>
      <w:r w:rsidR="00B92DDC">
        <w:rPr>
          <w:rFonts w:ascii="Calibri" w:eastAsia="Calibri" w:hAnsi="Calibri" w:cs="Calibri"/>
          <w:sz w:val="22"/>
          <w:szCs w:val="22"/>
        </w:rPr>
        <w:t>not apply in non-psychiatric and unlocked settings, hospitals must take steps to minimize risks for patients identified at risk of harm to self or other</w:t>
      </w:r>
      <w:r w:rsidR="00056F34">
        <w:rPr>
          <w:rFonts w:ascii="Calibri" w:eastAsia="Calibri" w:hAnsi="Calibri" w:cs="Calibri"/>
          <w:sz w:val="22"/>
          <w:szCs w:val="22"/>
        </w:rPr>
        <w:t>s,</w:t>
      </w:r>
      <w:r w:rsidR="00B92DDC">
        <w:rPr>
          <w:rFonts w:ascii="Calibri" w:eastAsia="Calibri" w:hAnsi="Calibri" w:cs="Calibri"/>
          <w:sz w:val="22"/>
          <w:szCs w:val="22"/>
        </w:rPr>
        <w:t xml:space="preserve"> in accordance with national</w:t>
      </w:r>
      <w:r w:rsidR="00056F34">
        <w:rPr>
          <w:rFonts w:ascii="Calibri" w:eastAsia="Calibri" w:hAnsi="Calibri" w:cs="Calibri"/>
          <w:sz w:val="22"/>
          <w:szCs w:val="22"/>
        </w:rPr>
        <w:t>ly</w:t>
      </w:r>
      <w:r w:rsidR="00B92DDC">
        <w:rPr>
          <w:rFonts w:ascii="Calibri" w:eastAsia="Calibri" w:hAnsi="Calibri" w:cs="Calibri"/>
          <w:sz w:val="22"/>
          <w:szCs w:val="22"/>
        </w:rPr>
        <w:t xml:space="preserve"> recognized standards and guidelines. The draft guidance provides </w:t>
      </w:r>
      <w:r w:rsidR="004C1464">
        <w:rPr>
          <w:rFonts w:ascii="Calibri" w:eastAsia="Calibri" w:hAnsi="Calibri" w:cs="Calibri"/>
          <w:sz w:val="22"/>
          <w:szCs w:val="22"/>
        </w:rPr>
        <w:t>examples of safety measures</w:t>
      </w:r>
      <w:r w:rsidR="00B92DDC">
        <w:rPr>
          <w:rFonts w:ascii="Calibri" w:eastAsia="Calibri" w:hAnsi="Calibri" w:cs="Calibri"/>
          <w:sz w:val="22"/>
          <w:szCs w:val="22"/>
        </w:rPr>
        <w:t xml:space="preserve"> hospitals should take</w:t>
      </w:r>
      <w:r w:rsidR="004C1464">
        <w:rPr>
          <w:rFonts w:ascii="Calibri" w:eastAsia="Calibri" w:hAnsi="Calibri" w:cs="Calibri"/>
          <w:sz w:val="22"/>
          <w:szCs w:val="22"/>
        </w:rPr>
        <w:t xml:space="preserve"> to ensure patients are protected. </w:t>
      </w:r>
      <w:r w:rsidR="00B92DDC">
        <w:rPr>
          <w:rFonts w:ascii="Calibri" w:eastAsia="Calibri" w:hAnsi="Calibri" w:cs="Calibri"/>
          <w:sz w:val="22"/>
          <w:szCs w:val="22"/>
        </w:rPr>
        <w:t xml:space="preserve">However, the list of examples is not exhaustive and some are more specific than others. </w:t>
      </w:r>
      <w:r w:rsidR="004C1464" w:rsidRPr="004C1464">
        <w:rPr>
          <w:rFonts w:ascii="Calibri" w:eastAsia="Calibri" w:hAnsi="Calibri" w:cs="Calibri"/>
          <w:b/>
          <w:bCs/>
          <w:sz w:val="22"/>
          <w:szCs w:val="22"/>
        </w:rPr>
        <w:t xml:space="preserve">CHA </w:t>
      </w:r>
      <w:r w:rsidR="009E026E" w:rsidRPr="004C1464">
        <w:rPr>
          <w:rFonts w:ascii="Calibri" w:eastAsia="Calibri" w:hAnsi="Calibri" w:cs="Calibri"/>
          <w:b/>
          <w:bCs/>
          <w:sz w:val="22"/>
          <w:szCs w:val="22"/>
        </w:rPr>
        <w:t>request</w:t>
      </w:r>
      <w:r w:rsidR="004C1464" w:rsidRPr="004C1464">
        <w:rPr>
          <w:rFonts w:ascii="Calibri" w:eastAsia="Calibri" w:hAnsi="Calibri" w:cs="Calibri"/>
          <w:b/>
          <w:bCs/>
          <w:sz w:val="22"/>
          <w:szCs w:val="22"/>
        </w:rPr>
        <w:t>s</w:t>
      </w:r>
      <w:r w:rsidR="009E026E" w:rsidRPr="004C1464">
        <w:rPr>
          <w:rFonts w:ascii="Calibri" w:eastAsia="Calibri" w:hAnsi="Calibri" w:cs="Calibri"/>
          <w:b/>
          <w:bCs/>
          <w:sz w:val="22"/>
          <w:szCs w:val="22"/>
        </w:rPr>
        <w:t xml:space="preserve"> </w:t>
      </w:r>
      <w:r w:rsidR="003477C2">
        <w:rPr>
          <w:rFonts w:ascii="Calibri" w:eastAsia="Calibri" w:hAnsi="Calibri" w:cs="Calibri"/>
          <w:b/>
          <w:bCs/>
          <w:sz w:val="22"/>
          <w:szCs w:val="22"/>
        </w:rPr>
        <w:t xml:space="preserve">clarity that the listed examples are not the only measures that can be taken, as well as </w:t>
      </w:r>
      <w:r w:rsidR="009E026E" w:rsidRPr="004C1464">
        <w:rPr>
          <w:rFonts w:ascii="Calibri" w:eastAsia="Calibri" w:hAnsi="Calibri" w:cs="Calibri"/>
          <w:b/>
          <w:bCs/>
          <w:sz w:val="22"/>
          <w:szCs w:val="22"/>
        </w:rPr>
        <w:t>additional examples to assist surveyors and advise the field</w:t>
      </w:r>
      <w:r w:rsidR="004C1464">
        <w:rPr>
          <w:rFonts w:ascii="Calibri" w:eastAsia="Calibri" w:hAnsi="Calibri" w:cs="Calibri"/>
          <w:b/>
          <w:bCs/>
          <w:sz w:val="22"/>
          <w:szCs w:val="22"/>
        </w:rPr>
        <w:t xml:space="preserve">. </w:t>
      </w:r>
    </w:p>
    <w:p w14:paraId="5BA77A44" w14:textId="77777777" w:rsidR="007B6B99" w:rsidRDefault="007B6B99" w:rsidP="00805578">
      <w:pPr>
        <w:rPr>
          <w:rFonts w:ascii="Calibri" w:eastAsia="Calibri" w:hAnsi="Calibri" w:cs="Calibri"/>
          <w:b/>
          <w:bCs/>
          <w:sz w:val="22"/>
          <w:szCs w:val="22"/>
        </w:rPr>
      </w:pPr>
    </w:p>
    <w:p w14:paraId="03745BC4" w14:textId="7A372E36" w:rsidR="00805578" w:rsidRPr="000C5B13" w:rsidRDefault="00B9720A" w:rsidP="00805578">
      <w:pPr>
        <w:rPr>
          <w:rFonts w:ascii="Calibri" w:eastAsia="Calibri" w:hAnsi="Calibri" w:cs="Calibri"/>
          <w:b/>
          <w:bCs/>
          <w:sz w:val="22"/>
          <w:szCs w:val="22"/>
        </w:rPr>
      </w:pPr>
      <w:r w:rsidRPr="00F320B6">
        <w:rPr>
          <w:rFonts w:ascii="Calibri" w:eastAsia="Calibri" w:hAnsi="Calibri" w:cs="Calibri"/>
          <w:bCs/>
          <w:sz w:val="22"/>
          <w:szCs w:val="22"/>
        </w:rPr>
        <w:t>Commonly, patients are risk</w:t>
      </w:r>
      <w:r w:rsidR="003477C2" w:rsidRPr="00F320B6">
        <w:rPr>
          <w:rFonts w:ascii="Calibri" w:eastAsia="Calibri" w:hAnsi="Calibri" w:cs="Calibri"/>
          <w:bCs/>
          <w:sz w:val="22"/>
          <w:szCs w:val="22"/>
        </w:rPr>
        <w:t>-</w:t>
      </w:r>
      <w:r w:rsidRPr="00F320B6">
        <w:rPr>
          <w:rFonts w:ascii="Calibri" w:eastAsia="Calibri" w:hAnsi="Calibri" w:cs="Calibri"/>
          <w:bCs/>
          <w:sz w:val="22"/>
          <w:szCs w:val="22"/>
        </w:rPr>
        <w:t xml:space="preserve">stratified and appropriate evidence-based measures are taken. </w:t>
      </w:r>
      <w:r w:rsidR="00337947" w:rsidRPr="00F320B6">
        <w:rPr>
          <w:rFonts w:ascii="Calibri" w:eastAsia="Calibri" w:hAnsi="Calibri" w:cs="Calibri"/>
          <w:bCs/>
          <w:sz w:val="22"/>
          <w:szCs w:val="22"/>
        </w:rPr>
        <w:t>As a result</w:t>
      </w:r>
      <w:r w:rsidR="004C1464" w:rsidRPr="00F320B6">
        <w:rPr>
          <w:rFonts w:ascii="Calibri" w:eastAsia="Calibri" w:hAnsi="Calibri" w:cs="Calibri"/>
          <w:bCs/>
          <w:sz w:val="22"/>
          <w:szCs w:val="22"/>
        </w:rPr>
        <w:t xml:space="preserve">, while 1:1 monitoring with continuous visual observation is one potentially appropriate measure, </w:t>
      </w:r>
      <w:r w:rsidR="00CD1CF3" w:rsidRPr="00F320B6">
        <w:rPr>
          <w:rFonts w:ascii="Calibri" w:eastAsia="Calibri" w:hAnsi="Calibri" w:cs="Calibri"/>
          <w:bCs/>
          <w:sz w:val="22"/>
          <w:szCs w:val="22"/>
        </w:rPr>
        <w:t xml:space="preserve">in-person or </w:t>
      </w:r>
      <w:r w:rsidR="004C1464" w:rsidRPr="00F320B6">
        <w:rPr>
          <w:rFonts w:ascii="Calibri" w:eastAsia="Calibri" w:hAnsi="Calibri" w:cs="Calibri"/>
          <w:bCs/>
          <w:sz w:val="22"/>
          <w:szCs w:val="22"/>
        </w:rPr>
        <w:t>video monitoring</w:t>
      </w:r>
      <w:r w:rsidR="00CD1CF3" w:rsidRPr="00F320B6">
        <w:rPr>
          <w:rFonts w:ascii="Calibri" w:eastAsia="Calibri" w:hAnsi="Calibri" w:cs="Calibri"/>
          <w:bCs/>
          <w:sz w:val="22"/>
          <w:szCs w:val="22"/>
        </w:rPr>
        <w:t xml:space="preserve"> with one personnel and multiple patients</w:t>
      </w:r>
      <w:r w:rsidR="004C1464" w:rsidRPr="00F320B6">
        <w:rPr>
          <w:rFonts w:ascii="Calibri" w:eastAsia="Calibri" w:hAnsi="Calibri" w:cs="Calibri"/>
          <w:bCs/>
          <w:sz w:val="22"/>
          <w:szCs w:val="22"/>
        </w:rPr>
        <w:t xml:space="preserve"> could be as well. </w:t>
      </w:r>
      <w:r w:rsidR="00CD1CF3">
        <w:rPr>
          <w:rFonts w:ascii="Calibri" w:eastAsia="Calibri" w:hAnsi="Calibri" w:cs="Calibri"/>
          <w:b/>
          <w:bCs/>
          <w:sz w:val="22"/>
          <w:szCs w:val="22"/>
        </w:rPr>
        <w:t xml:space="preserve">CHA requests </w:t>
      </w:r>
      <w:r w:rsidR="00207870">
        <w:rPr>
          <w:rFonts w:ascii="Calibri" w:eastAsia="Calibri" w:hAnsi="Calibri" w:cs="Calibri"/>
          <w:b/>
          <w:bCs/>
          <w:sz w:val="22"/>
          <w:szCs w:val="22"/>
        </w:rPr>
        <w:t xml:space="preserve">CMS modify the language </w:t>
      </w:r>
      <w:r w:rsidR="00805578" w:rsidRPr="000C5B13">
        <w:rPr>
          <w:rFonts w:ascii="Calibri" w:eastAsia="Calibri" w:hAnsi="Calibri" w:cs="Calibri"/>
          <w:b/>
          <w:bCs/>
          <w:sz w:val="22"/>
          <w:szCs w:val="22"/>
        </w:rPr>
        <w:t>on page 8</w:t>
      </w:r>
      <w:r w:rsidR="00207870">
        <w:rPr>
          <w:rFonts w:ascii="Calibri" w:eastAsia="Calibri" w:hAnsi="Calibri" w:cs="Calibri"/>
          <w:b/>
          <w:bCs/>
          <w:sz w:val="22"/>
          <w:szCs w:val="22"/>
        </w:rPr>
        <w:t xml:space="preserve"> to read</w:t>
      </w:r>
      <w:r w:rsidR="00056F34">
        <w:rPr>
          <w:rFonts w:ascii="Calibri" w:eastAsia="Calibri" w:hAnsi="Calibri" w:cs="Calibri"/>
          <w:b/>
          <w:bCs/>
          <w:sz w:val="22"/>
          <w:szCs w:val="22"/>
        </w:rPr>
        <w:t>,</w:t>
      </w:r>
      <w:r w:rsidR="00805578" w:rsidRPr="000C5B13">
        <w:rPr>
          <w:rFonts w:ascii="Calibri" w:eastAsia="Calibri" w:hAnsi="Calibri" w:cs="Calibri"/>
          <w:b/>
          <w:bCs/>
          <w:sz w:val="22"/>
          <w:szCs w:val="22"/>
        </w:rPr>
        <w:t xml:space="preserve"> “Safety measures that ensure these patients identified as being at risk are protected in a non-psychiatric and unlocked setting may include:</w:t>
      </w:r>
    </w:p>
    <w:p w14:paraId="1C8B3C79" w14:textId="33083039" w:rsidR="00805578" w:rsidRPr="000C5B13" w:rsidRDefault="00805578" w:rsidP="00805578">
      <w:pPr>
        <w:pStyle w:val="ListParagraph"/>
        <w:numPr>
          <w:ilvl w:val="0"/>
          <w:numId w:val="5"/>
        </w:numPr>
        <w:rPr>
          <w:rFonts w:ascii="Calibri" w:eastAsia="Calibri" w:hAnsi="Calibri" w:cs="Calibri"/>
          <w:b/>
          <w:bCs/>
          <w:sz w:val="22"/>
          <w:szCs w:val="22"/>
        </w:rPr>
      </w:pPr>
      <w:r w:rsidRPr="00A0172A">
        <w:rPr>
          <w:rFonts w:ascii="Calibri" w:eastAsia="Calibri" w:hAnsi="Calibri" w:cs="Calibri"/>
          <w:b/>
          <w:bCs/>
          <w:strike/>
          <w:sz w:val="22"/>
          <w:szCs w:val="22"/>
        </w:rPr>
        <w:t>1:1</w:t>
      </w:r>
      <w:r w:rsidRPr="000C5B13">
        <w:rPr>
          <w:rFonts w:ascii="Calibri" w:eastAsia="Calibri" w:hAnsi="Calibri" w:cs="Calibri"/>
          <w:b/>
          <w:bCs/>
          <w:sz w:val="22"/>
          <w:szCs w:val="22"/>
        </w:rPr>
        <w:t xml:space="preserve"> monitoring with continuous visual observation</w:t>
      </w:r>
      <w:r w:rsidR="00CD1CF3">
        <w:rPr>
          <w:rFonts w:ascii="Calibri" w:eastAsia="Calibri" w:hAnsi="Calibri" w:cs="Calibri"/>
          <w:b/>
          <w:bCs/>
          <w:sz w:val="22"/>
          <w:szCs w:val="22"/>
          <w:u w:val="single"/>
        </w:rPr>
        <w:t>, including</w:t>
      </w:r>
      <w:r w:rsidRPr="000C5B13">
        <w:rPr>
          <w:rFonts w:ascii="Calibri" w:eastAsia="Calibri" w:hAnsi="Calibri" w:cs="Calibri"/>
          <w:b/>
          <w:bCs/>
          <w:sz w:val="22"/>
          <w:szCs w:val="22"/>
        </w:rPr>
        <w:t xml:space="preserve"> </w:t>
      </w:r>
      <w:r w:rsidRPr="000C5B13">
        <w:rPr>
          <w:rFonts w:ascii="Calibri" w:eastAsia="Calibri" w:hAnsi="Calibri" w:cs="Calibri"/>
          <w:b/>
          <w:bCs/>
          <w:strike/>
          <w:sz w:val="22"/>
          <w:szCs w:val="22"/>
        </w:rPr>
        <w:t xml:space="preserve">or </w:t>
      </w:r>
      <w:r w:rsidRPr="00A0172A">
        <w:rPr>
          <w:rFonts w:ascii="Calibri" w:eastAsia="Calibri" w:hAnsi="Calibri" w:cs="Calibri"/>
          <w:b/>
          <w:bCs/>
          <w:sz w:val="22"/>
          <w:szCs w:val="22"/>
        </w:rPr>
        <w:t>video monitoring</w:t>
      </w:r>
      <w:r w:rsidRPr="000C5B13">
        <w:rPr>
          <w:rFonts w:ascii="Calibri" w:eastAsia="Calibri" w:hAnsi="Calibri" w:cs="Calibri"/>
          <w:b/>
          <w:bCs/>
          <w:sz w:val="22"/>
          <w:szCs w:val="22"/>
        </w:rPr>
        <w:t>, if appropriate;</w:t>
      </w:r>
      <w:r w:rsidR="00CD1CF3">
        <w:rPr>
          <w:rFonts w:ascii="Calibri" w:eastAsia="Calibri" w:hAnsi="Calibri" w:cs="Calibri"/>
          <w:b/>
          <w:bCs/>
          <w:sz w:val="22"/>
          <w:szCs w:val="22"/>
        </w:rPr>
        <w:t>”</w:t>
      </w:r>
    </w:p>
    <w:p w14:paraId="632487F9" w14:textId="31F4D47D" w:rsidR="009E026E" w:rsidRPr="00F320B6" w:rsidRDefault="00337947" w:rsidP="00805578">
      <w:pPr>
        <w:rPr>
          <w:rFonts w:ascii="Calibri" w:eastAsia="Calibri" w:hAnsi="Calibri" w:cs="Calibri"/>
          <w:bCs/>
          <w:sz w:val="22"/>
          <w:szCs w:val="22"/>
        </w:rPr>
      </w:pPr>
      <w:r w:rsidRPr="00F320B6">
        <w:rPr>
          <w:rFonts w:ascii="Calibri" w:eastAsia="Calibri" w:hAnsi="Calibri" w:cs="Calibri"/>
          <w:bCs/>
          <w:sz w:val="22"/>
          <w:szCs w:val="22"/>
        </w:rPr>
        <w:t xml:space="preserve">Additional conforming changes to remove the references to 1:1 on pages 10, 11, and 12 would support communicating the range of patient safety steps that may be appropriate for a given patient. </w:t>
      </w:r>
      <w:r w:rsidR="003B26A4" w:rsidRPr="00F320B6">
        <w:rPr>
          <w:rFonts w:ascii="Calibri" w:eastAsia="Calibri" w:hAnsi="Calibri" w:cs="Calibri"/>
          <w:bCs/>
          <w:sz w:val="22"/>
          <w:szCs w:val="22"/>
        </w:rPr>
        <w:t xml:space="preserve">Further, </w:t>
      </w:r>
      <w:r w:rsidR="00207870">
        <w:rPr>
          <w:rFonts w:ascii="Calibri" w:eastAsia="Calibri" w:hAnsi="Calibri" w:cs="Calibri"/>
          <w:bCs/>
          <w:sz w:val="22"/>
          <w:szCs w:val="22"/>
        </w:rPr>
        <w:t xml:space="preserve">outlining </w:t>
      </w:r>
      <w:r w:rsidR="003B26A4" w:rsidRPr="00F320B6">
        <w:rPr>
          <w:rFonts w:ascii="Calibri" w:eastAsia="Calibri" w:hAnsi="Calibri" w:cs="Calibri"/>
          <w:bCs/>
          <w:sz w:val="22"/>
          <w:szCs w:val="22"/>
        </w:rPr>
        <w:t xml:space="preserve">examples of nationally recognized standards that surveyors might consider </w:t>
      </w:r>
      <w:r w:rsidR="003B26A4" w:rsidRPr="00F320B6">
        <w:rPr>
          <w:rFonts w:ascii="Calibri" w:eastAsia="Calibri" w:hAnsi="Calibri" w:cs="Calibri"/>
          <w:sz w:val="22"/>
          <w:szCs w:val="22"/>
        </w:rPr>
        <w:t>using</w:t>
      </w:r>
      <w:r w:rsidR="003B26A4" w:rsidRPr="00A4767E">
        <w:rPr>
          <w:rFonts w:ascii="Calibri" w:eastAsia="Calibri" w:hAnsi="Calibri" w:cs="Calibri"/>
          <w:b/>
          <w:bCs/>
          <w:sz w:val="22"/>
          <w:szCs w:val="22"/>
        </w:rPr>
        <w:t xml:space="preserve"> </w:t>
      </w:r>
      <w:r w:rsidR="003B26A4" w:rsidRPr="00F320B6">
        <w:rPr>
          <w:rFonts w:ascii="Calibri" w:eastAsia="Calibri" w:hAnsi="Calibri" w:cs="Calibri"/>
          <w:bCs/>
          <w:sz w:val="22"/>
          <w:szCs w:val="22"/>
        </w:rPr>
        <w:t>would be helpful</w:t>
      </w:r>
      <w:r w:rsidR="00B8575F" w:rsidRPr="00F320B6">
        <w:rPr>
          <w:rFonts w:ascii="Calibri" w:eastAsia="Calibri" w:hAnsi="Calibri" w:cs="Calibri"/>
          <w:bCs/>
          <w:sz w:val="22"/>
          <w:szCs w:val="22"/>
        </w:rPr>
        <w:t xml:space="preserve"> in surveyor education.  </w:t>
      </w:r>
    </w:p>
    <w:p w14:paraId="7A720213" w14:textId="02C68BEA" w:rsidR="00B92DDC" w:rsidRDefault="00B92DDC" w:rsidP="005C4663">
      <w:pPr>
        <w:rPr>
          <w:rFonts w:ascii="Calibri" w:eastAsia="Calibri" w:hAnsi="Calibri" w:cs="Calibri"/>
          <w:b/>
          <w:bCs/>
          <w:sz w:val="22"/>
          <w:szCs w:val="22"/>
        </w:rPr>
      </w:pPr>
    </w:p>
    <w:p w14:paraId="15F250F9" w14:textId="092AB4FD" w:rsidR="00B92DDC" w:rsidRDefault="00056F34" w:rsidP="005C4663">
      <w:pPr>
        <w:rPr>
          <w:rFonts w:ascii="Calibri" w:eastAsia="Calibri" w:hAnsi="Calibri" w:cs="Calibri"/>
          <w:b/>
          <w:bCs/>
          <w:sz w:val="22"/>
          <w:szCs w:val="22"/>
        </w:rPr>
      </w:pPr>
      <w:r>
        <w:rPr>
          <w:rFonts w:ascii="Calibri" w:eastAsia="Calibri" w:hAnsi="Calibri" w:cs="Calibri"/>
          <w:sz w:val="22"/>
          <w:szCs w:val="22"/>
        </w:rPr>
        <w:t>T</w:t>
      </w:r>
      <w:r w:rsidR="00B92DDC">
        <w:rPr>
          <w:rFonts w:ascii="Calibri" w:eastAsia="Calibri" w:hAnsi="Calibri" w:cs="Calibri"/>
          <w:sz w:val="22"/>
          <w:szCs w:val="22"/>
        </w:rPr>
        <w:t xml:space="preserve">he guidance </w:t>
      </w:r>
      <w:r>
        <w:rPr>
          <w:rFonts w:ascii="Calibri" w:eastAsia="Calibri" w:hAnsi="Calibri" w:cs="Calibri"/>
          <w:sz w:val="22"/>
          <w:szCs w:val="22"/>
        </w:rPr>
        <w:t xml:space="preserve">also </w:t>
      </w:r>
      <w:r w:rsidR="00B92DDC">
        <w:rPr>
          <w:rFonts w:ascii="Calibri" w:eastAsia="Calibri" w:hAnsi="Calibri" w:cs="Calibri"/>
          <w:sz w:val="22"/>
          <w:szCs w:val="22"/>
        </w:rPr>
        <w:t>notes that while toilet seats may be a potential ligature point, evidence suggests the risk is minimal. The guidance explains that surveyors should not consider this one item as non-compliance in the absence of other factors.</w:t>
      </w:r>
      <w:r w:rsidR="00B92DDC" w:rsidRPr="00F320B6">
        <w:rPr>
          <w:rFonts w:ascii="Calibri" w:eastAsia="Calibri" w:hAnsi="Calibri" w:cs="Calibri"/>
          <w:b/>
          <w:sz w:val="22"/>
          <w:szCs w:val="22"/>
        </w:rPr>
        <w:t xml:space="preserve"> CHA urges CMS to </w:t>
      </w:r>
      <w:r w:rsidR="004F48DB" w:rsidRPr="00F320B6">
        <w:rPr>
          <w:rFonts w:ascii="Calibri" w:eastAsia="Calibri" w:hAnsi="Calibri" w:cs="Calibri"/>
          <w:b/>
          <w:sz w:val="22"/>
          <w:szCs w:val="22"/>
        </w:rPr>
        <w:t>further</w:t>
      </w:r>
      <w:r w:rsidR="00B92DDC" w:rsidRPr="00F320B6">
        <w:rPr>
          <w:rFonts w:ascii="Calibri" w:eastAsia="Calibri" w:hAnsi="Calibri" w:cs="Calibri"/>
          <w:b/>
          <w:sz w:val="22"/>
          <w:szCs w:val="22"/>
        </w:rPr>
        <w:t xml:space="preserve"> clarify the “other factors” that could </w:t>
      </w:r>
      <w:r w:rsidR="004F48DB" w:rsidRPr="00F320B6">
        <w:rPr>
          <w:rFonts w:ascii="Calibri" w:eastAsia="Calibri" w:hAnsi="Calibri" w:cs="Calibri"/>
          <w:b/>
          <w:sz w:val="22"/>
          <w:szCs w:val="22"/>
        </w:rPr>
        <w:t xml:space="preserve">contribute to a non-compliance citation in relation to toilet seats. </w:t>
      </w:r>
      <w:r w:rsidR="00B8575F">
        <w:rPr>
          <w:rFonts w:ascii="Calibri" w:eastAsia="Calibri" w:hAnsi="Calibri" w:cs="Calibri"/>
          <w:sz w:val="22"/>
          <w:szCs w:val="22"/>
        </w:rPr>
        <w:t xml:space="preserve">For example, </w:t>
      </w:r>
      <w:r w:rsidR="004F48DB">
        <w:rPr>
          <w:rFonts w:ascii="Calibri" w:eastAsia="Calibri" w:hAnsi="Calibri" w:cs="Calibri"/>
          <w:sz w:val="22"/>
          <w:szCs w:val="22"/>
        </w:rPr>
        <w:t xml:space="preserve">CMS should provide consistent guidance to surveyors on appropriate use of bathroom doors. </w:t>
      </w:r>
      <w:r w:rsidR="00DD51BC">
        <w:rPr>
          <w:rFonts w:ascii="Calibri" w:eastAsia="Calibri" w:hAnsi="Calibri" w:cs="Calibri"/>
          <w:sz w:val="22"/>
          <w:szCs w:val="22"/>
        </w:rPr>
        <w:t xml:space="preserve">Ligature resistant technology </w:t>
      </w:r>
      <w:r w:rsidR="00B8575F">
        <w:rPr>
          <w:rFonts w:ascii="Calibri" w:eastAsia="Calibri" w:hAnsi="Calibri" w:cs="Calibri"/>
          <w:sz w:val="22"/>
          <w:szCs w:val="22"/>
        </w:rPr>
        <w:t>is an ever</w:t>
      </w:r>
      <w:r w:rsidR="00207870">
        <w:rPr>
          <w:rFonts w:ascii="Calibri" w:eastAsia="Calibri" w:hAnsi="Calibri" w:cs="Calibri"/>
          <w:sz w:val="22"/>
          <w:szCs w:val="22"/>
        </w:rPr>
        <w:t>-</w:t>
      </w:r>
      <w:r w:rsidR="00B8575F">
        <w:rPr>
          <w:rFonts w:ascii="Calibri" w:eastAsia="Calibri" w:hAnsi="Calibri" w:cs="Calibri"/>
          <w:sz w:val="22"/>
          <w:szCs w:val="22"/>
        </w:rPr>
        <w:t>evolving fie</w:t>
      </w:r>
      <w:r w:rsidR="00454326">
        <w:rPr>
          <w:rFonts w:ascii="Calibri" w:eastAsia="Calibri" w:hAnsi="Calibri" w:cs="Calibri"/>
          <w:sz w:val="22"/>
          <w:szCs w:val="22"/>
        </w:rPr>
        <w:t>l</w:t>
      </w:r>
      <w:r w:rsidR="00B8575F">
        <w:rPr>
          <w:rFonts w:ascii="Calibri" w:eastAsia="Calibri" w:hAnsi="Calibri" w:cs="Calibri"/>
          <w:sz w:val="22"/>
          <w:szCs w:val="22"/>
        </w:rPr>
        <w:t>d and CMS must determine how best to ensure that hospitals maintain flexibility in obtaining solutions that meet their facilities</w:t>
      </w:r>
      <w:r w:rsidR="00454326">
        <w:rPr>
          <w:rFonts w:ascii="Calibri" w:eastAsia="Calibri" w:hAnsi="Calibri" w:cs="Calibri"/>
          <w:sz w:val="22"/>
          <w:szCs w:val="22"/>
        </w:rPr>
        <w:t>’</w:t>
      </w:r>
      <w:r w:rsidR="00B8575F">
        <w:rPr>
          <w:rFonts w:ascii="Calibri" w:eastAsia="Calibri" w:hAnsi="Calibri" w:cs="Calibri"/>
          <w:sz w:val="22"/>
          <w:szCs w:val="22"/>
        </w:rPr>
        <w:t xml:space="preserve"> needs, while not assuming a one</w:t>
      </w:r>
      <w:r w:rsidR="00454326">
        <w:rPr>
          <w:rFonts w:ascii="Calibri" w:eastAsia="Calibri" w:hAnsi="Calibri" w:cs="Calibri"/>
          <w:sz w:val="22"/>
          <w:szCs w:val="22"/>
        </w:rPr>
        <w:t>-</w:t>
      </w:r>
      <w:r w:rsidR="00B8575F">
        <w:rPr>
          <w:rFonts w:ascii="Calibri" w:eastAsia="Calibri" w:hAnsi="Calibri" w:cs="Calibri"/>
          <w:sz w:val="22"/>
          <w:szCs w:val="22"/>
        </w:rPr>
        <w:t>size</w:t>
      </w:r>
      <w:r w:rsidR="00454326">
        <w:rPr>
          <w:rFonts w:ascii="Calibri" w:eastAsia="Calibri" w:hAnsi="Calibri" w:cs="Calibri"/>
          <w:sz w:val="22"/>
          <w:szCs w:val="22"/>
        </w:rPr>
        <w:t>-</w:t>
      </w:r>
      <w:r w:rsidR="00B8575F">
        <w:rPr>
          <w:rFonts w:ascii="Calibri" w:eastAsia="Calibri" w:hAnsi="Calibri" w:cs="Calibri"/>
          <w:sz w:val="22"/>
          <w:szCs w:val="22"/>
        </w:rPr>
        <w:t>fits all approach (</w:t>
      </w:r>
      <w:r w:rsidR="00207870">
        <w:rPr>
          <w:rFonts w:ascii="Calibri" w:eastAsia="Calibri" w:hAnsi="Calibri" w:cs="Calibri"/>
          <w:sz w:val="22"/>
          <w:szCs w:val="22"/>
        </w:rPr>
        <w:t>e.g</w:t>
      </w:r>
      <w:r w:rsidR="00B8575F">
        <w:rPr>
          <w:rFonts w:ascii="Calibri" w:eastAsia="Calibri" w:hAnsi="Calibri" w:cs="Calibri"/>
          <w:sz w:val="22"/>
          <w:szCs w:val="22"/>
        </w:rPr>
        <w:t xml:space="preserve">. </w:t>
      </w:r>
      <w:r w:rsidR="00454326">
        <w:rPr>
          <w:rFonts w:ascii="Calibri" w:eastAsia="Calibri" w:hAnsi="Calibri" w:cs="Calibri"/>
          <w:sz w:val="22"/>
          <w:szCs w:val="22"/>
        </w:rPr>
        <w:t xml:space="preserve">only </w:t>
      </w:r>
      <w:r w:rsidR="00B8575F">
        <w:rPr>
          <w:rFonts w:ascii="Calibri" w:eastAsia="Calibri" w:hAnsi="Calibri" w:cs="Calibri"/>
          <w:sz w:val="22"/>
          <w:szCs w:val="22"/>
        </w:rPr>
        <w:t xml:space="preserve">one brand of bathroom door). </w:t>
      </w:r>
    </w:p>
    <w:p w14:paraId="6B945366" w14:textId="77777777" w:rsidR="00B8575F" w:rsidRDefault="00B8575F" w:rsidP="005C4663">
      <w:pPr>
        <w:rPr>
          <w:rFonts w:ascii="Calibri" w:eastAsia="Calibri" w:hAnsi="Calibri" w:cs="Calibri"/>
          <w:b/>
          <w:bCs/>
          <w:sz w:val="22"/>
          <w:szCs w:val="22"/>
        </w:rPr>
      </w:pPr>
    </w:p>
    <w:p w14:paraId="541346A6" w14:textId="6B76E879" w:rsidR="0025425B" w:rsidRDefault="00207870" w:rsidP="0025425B">
      <w:pPr>
        <w:rPr>
          <w:rFonts w:ascii="Calibri" w:eastAsia="Calibri" w:hAnsi="Calibri" w:cs="Calibri"/>
          <w:i/>
          <w:iCs/>
          <w:sz w:val="22"/>
          <w:szCs w:val="22"/>
        </w:rPr>
      </w:pPr>
      <w:r>
        <w:rPr>
          <w:rFonts w:ascii="Calibri" w:eastAsia="Calibri" w:hAnsi="Calibri" w:cs="Calibri"/>
          <w:i/>
          <w:iCs/>
          <w:sz w:val="22"/>
          <w:szCs w:val="22"/>
        </w:rPr>
        <w:t xml:space="preserve">Clarify </w:t>
      </w:r>
      <w:r w:rsidR="0025425B" w:rsidRPr="0025425B">
        <w:rPr>
          <w:rFonts w:ascii="Calibri" w:eastAsia="Calibri" w:hAnsi="Calibri" w:cs="Calibri"/>
          <w:i/>
          <w:iCs/>
          <w:sz w:val="22"/>
          <w:szCs w:val="22"/>
        </w:rPr>
        <w:t xml:space="preserve">Education and Training of Hospital Staff </w:t>
      </w:r>
    </w:p>
    <w:p w14:paraId="0BDB7AA3" w14:textId="2CF3FD84" w:rsidR="0025425B" w:rsidRDefault="00207870" w:rsidP="00506AFE">
      <w:pPr>
        <w:rPr>
          <w:rFonts w:ascii="Calibri" w:eastAsia="Calibri" w:hAnsi="Calibri" w:cs="Calibri"/>
          <w:b/>
          <w:bCs/>
          <w:sz w:val="22"/>
          <w:szCs w:val="22"/>
        </w:rPr>
      </w:pPr>
      <w:r>
        <w:rPr>
          <w:rFonts w:ascii="Calibri" w:eastAsia="Calibri" w:hAnsi="Calibri" w:cs="Calibri"/>
          <w:sz w:val="22"/>
          <w:szCs w:val="22"/>
        </w:rPr>
        <w:t xml:space="preserve">Under </w:t>
      </w:r>
      <w:r w:rsidR="00506AFE">
        <w:rPr>
          <w:rFonts w:ascii="Calibri" w:eastAsia="Calibri" w:hAnsi="Calibri" w:cs="Calibri"/>
          <w:sz w:val="22"/>
          <w:szCs w:val="22"/>
        </w:rPr>
        <w:t>this guidance, hospitals</w:t>
      </w:r>
      <w:r w:rsidR="0025425B" w:rsidRPr="00506AFE">
        <w:rPr>
          <w:rFonts w:ascii="Calibri" w:eastAsia="Calibri" w:hAnsi="Calibri" w:cs="Calibri"/>
          <w:sz w:val="22"/>
          <w:szCs w:val="22"/>
        </w:rPr>
        <w:t xml:space="preserve"> are expected to provide education and training </w:t>
      </w:r>
      <w:r>
        <w:rPr>
          <w:rFonts w:ascii="Calibri" w:eastAsia="Calibri" w:hAnsi="Calibri" w:cs="Calibri"/>
          <w:sz w:val="22"/>
          <w:szCs w:val="22"/>
        </w:rPr>
        <w:t>related to</w:t>
      </w:r>
      <w:r w:rsidR="0025425B" w:rsidRPr="00506AFE">
        <w:rPr>
          <w:rFonts w:ascii="Calibri" w:eastAsia="Calibri" w:hAnsi="Calibri" w:cs="Calibri"/>
          <w:sz w:val="22"/>
          <w:szCs w:val="22"/>
        </w:rPr>
        <w:t>: s</w:t>
      </w:r>
      <w:r w:rsidR="0025425B" w:rsidRPr="0025425B">
        <w:rPr>
          <w:rFonts w:ascii="Calibri" w:eastAsia="Calibri" w:hAnsi="Calibri" w:cs="Calibri"/>
          <w:sz w:val="22"/>
          <w:szCs w:val="22"/>
        </w:rPr>
        <w:t>creening and assessment of patients at risk of harm to self or others</w:t>
      </w:r>
      <w:r>
        <w:rPr>
          <w:rFonts w:ascii="Calibri" w:eastAsia="Calibri" w:hAnsi="Calibri" w:cs="Calibri"/>
          <w:sz w:val="22"/>
          <w:szCs w:val="22"/>
        </w:rPr>
        <w:t>;</w:t>
      </w:r>
      <w:r w:rsidR="0025425B" w:rsidRPr="00506AFE">
        <w:rPr>
          <w:rFonts w:ascii="Calibri" w:eastAsia="Calibri" w:hAnsi="Calibri" w:cs="Calibri"/>
          <w:sz w:val="22"/>
          <w:szCs w:val="22"/>
        </w:rPr>
        <w:t xml:space="preserve"> i</w:t>
      </w:r>
      <w:r w:rsidR="0025425B" w:rsidRPr="0025425B">
        <w:rPr>
          <w:rFonts w:ascii="Calibri" w:eastAsia="Calibri" w:hAnsi="Calibri" w:cs="Calibri"/>
          <w:sz w:val="22"/>
          <w:szCs w:val="22"/>
        </w:rPr>
        <w:t>dentification of patient safety risk factors</w:t>
      </w:r>
      <w:r>
        <w:rPr>
          <w:rFonts w:ascii="Calibri" w:eastAsia="Calibri" w:hAnsi="Calibri" w:cs="Calibri"/>
          <w:sz w:val="22"/>
          <w:szCs w:val="22"/>
        </w:rPr>
        <w:t>;</w:t>
      </w:r>
      <w:r w:rsidR="0025425B" w:rsidRPr="00506AFE">
        <w:rPr>
          <w:rFonts w:ascii="Calibri" w:eastAsia="Calibri" w:hAnsi="Calibri" w:cs="Calibri"/>
          <w:sz w:val="22"/>
          <w:szCs w:val="22"/>
        </w:rPr>
        <w:t xml:space="preserve"> </w:t>
      </w:r>
      <w:r w:rsidR="00506AFE" w:rsidRPr="00506AFE">
        <w:rPr>
          <w:rFonts w:ascii="Calibri" w:eastAsia="Calibri" w:hAnsi="Calibri" w:cs="Calibri"/>
          <w:sz w:val="22"/>
          <w:szCs w:val="22"/>
        </w:rPr>
        <w:t xml:space="preserve">and </w:t>
      </w:r>
      <w:r w:rsidR="0025425B" w:rsidRPr="00506AFE">
        <w:rPr>
          <w:rFonts w:ascii="Calibri" w:eastAsia="Calibri" w:hAnsi="Calibri" w:cs="Calibri"/>
          <w:sz w:val="22"/>
          <w:szCs w:val="22"/>
        </w:rPr>
        <w:t>m</w:t>
      </w:r>
      <w:r w:rsidR="0025425B" w:rsidRPr="0025425B">
        <w:rPr>
          <w:rFonts w:ascii="Calibri" w:eastAsia="Calibri" w:hAnsi="Calibri" w:cs="Calibri"/>
          <w:sz w:val="22"/>
          <w:szCs w:val="22"/>
        </w:rPr>
        <w:t>itigation strategies for all new</w:t>
      </w:r>
      <w:r w:rsidR="0025425B" w:rsidRPr="00506AFE">
        <w:rPr>
          <w:rFonts w:ascii="Calibri" w:eastAsia="Calibri" w:hAnsi="Calibri" w:cs="Calibri"/>
          <w:sz w:val="22"/>
          <w:szCs w:val="22"/>
        </w:rPr>
        <w:t xml:space="preserve"> </w:t>
      </w:r>
      <w:r w:rsidR="0025425B" w:rsidRPr="0025425B">
        <w:rPr>
          <w:rFonts w:ascii="Calibri" w:eastAsia="Calibri" w:hAnsi="Calibri" w:cs="Calibri"/>
          <w:sz w:val="22"/>
          <w:szCs w:val="22"/>
        </w:rPr>
        <w:t xml:space="preserve">employees who work independently </w:t>
      </w:r>
      <w:proofErr w:type="gramStart"/>
      <w:r w:rsidR="0025425B" w:rsidRPr="0025425B">
        <w:rPr>
          <w:rFonts w:ascii="Calibri" w:eastAsia="Calibri" w:hAnsi="Calibri" w:cs="Calibri"/>
          <w:sz w:val="22"/>
          <w:szCs w:val="22"/>
        </w:rPr>
        <w:t>in patient</w:t>
      </w:r>
      <w:proofErr w:type="gramEnd"/>
      <w:r w:rsidR="0025425B" w:rsidRPr="0025425B">
        <w:rPr>
          <w:rFonts w:ascii="Calibri" w:eastAsia="Calibri" w:hAnsi="Calibri" w:cs="Calibri"/>
          <w:sz w:val="22"/>
          <w:szCs w:val="22"/>
        </w:rPr>
        <w:t xml:space="preserve"> care areas</w:t>
      </w:r>
      <w:r w:rsidR="0025425B" w:rsidRPr="00506AFE">
        <w:rPr>
          <w:rFonts w:ascii="Calibri" w:eastAsia="Calibri" w:hAnsi="Calibri" w:cs="Calibri"/>
          <w:sz w:val="22"/>
          <w:szCs w:val="22"/>
        </w:rPr>
        <w:t xml:space="preserve">, </w:t>
      </w:r>
      <w:r w:rsidR="00506AFE" w:rsidRPr="00506AFE">
        <w:rPr>
          <w:rFonts w:ascii="Calibri" w:eastAsia="Calibri" w:hAnsi="Calibri" w:cs="Calibri"/>
          <w:sz w:val="22"/>
          <w:szCs w:val="22"/>
        </w:rPr>
        <w:t>i</w:t>
      </w:r>
      <w:r w:rsidR="0025425B" w:rsidRPr="0025425B">
        <w:rPr>
          <w:rFonts w:ascii="Calibri" w:eastAsia="Calibri" w:hAnsi="Calibri" w:cs="Calibri"/>
          <w:sz w:val="22"/>
          <w:szCs w:val="22"/>
        </w:rPr>
        <w:t>ncluding non-patient care employees who work in these area</w:t>
      </w:r>
      <w:r w:rsidR="00506AFE" w:rsidRPr="00506AFE">
        <w:rPr>
          <w:rFonts w:ascii="Calibri" w:eastAsia="Calibri" w:hAnsi="Calibri" w:cs="Calibri"/>
          <w:sz w:val="22"/>
          <w:szCs w:val="22"/>
        </w:rPr>
        <w:t>s. In addition, hospitals are expected to provide education and training to all staff when policies and procedures change</w:t>
      </w:r>
      <w:r w:rsidR="00506AFE">
        <w:rPr>
          <w:rFonts w:ascii="Calibri" w:eastAsia="Calibri" w:hAnsi="Calibri" w:cs="Calibri"/>
          <w:sz w:val="22"/>
          <w:szCs w:val="22"/>
        </w:rPr>
        <w:t xml:space="preserve">. </w:t>
      </w:r>
      <w:r w:rsidRPr="00F320B6">
        <w:rPr>
          <w:rFonts w:ascii="Calibri" w:eastAsia="Calibri" w:hAnsi="Calibri" w:cs="Calibri"/>
          <w:bCs/>
          <w:sz w:val="22"/>
          <w:szCs w:val="22"/>
        </w:rPr>
        <w:t xml:space="preserve">Based on </w:t>
      </w:r>
      <w:r w:rsidR="00B8575F" w:rsidRPr="00F320B6">
        <w:rPr>
          <w:rFonts w:ascii="Calibri" w:eastAsia="Calibri" w:hAnsi="Calibri" w:cs="Calibri"/>
          <w:bCs/>
          <w:sz w:val="22"/>
          <w:szCs w:val="22"/>
        </w:rPr>
        <w:t xml:space="preserve">the draft guidance, one may assume that CMS intends </w:t>
      </w:r>
      <w:r w:rsidR="00506AFE" w:rsidRPr="00F320B6">
        <w:rPr>
          <w:rFonts w:ascii="Calibri" w:eastAsia="Calibri" w:hAnsi="Calibri" w:cs="Calibri"/>
          <w:bCs/>
          <w:sz w:val="22"/>
          <w:szCs w:val="22"/>
        </w:rPr>
        <w:t xml:space="preserve">education and training </w:t>
      </w:r>
      <w:r w:rsidR="00CD1CF3" w:rsidRPr="00F320B6">
        <w:rPr>
          <w:rFonts w:ascii="Calibri" w:eastAsia="Calibri" w:hAnsi="Calibri" w:cs="Calibri"/>
          <w:bCs/>
          <w:sz w:val="22"/>
          <w:szCs w:val="22"/>
        </w:rPr>
        <w:t xml:space="preserve">to </w:t>
      </w:r>
      <w:r w:rsidR="00B8575F" w:rsidRPr="00F320B6">
        <w:rPr>
          <w:rFonts w:ascii="Calibri" w:eastAsia="Calibri" w:hAnsi="Calibri" w:cs="Calibri"/>
          <w:bCs/>
          <w:sz w:val="22"/>
          <w:szCs w:val="22"/>
        </w:rPr>
        <w:t xml:space="preserve">be </w:t>
      </w:r>
      <w:r w:rsidR="00506AFE" w:rsidRPr="00F320B6">
        <w:rPr>
          <w:rFonts w:ascii="Calibri" w:eastAsia="Calibri" w:hAnsi="Calibri" w:cs="Calibri"/>
          <w:bCs/>
          <w:sz w:val="22"/>
          <w:szCs w:val="22"/>
        </w:rPr>
        <w:t>require</w:t>
      </w:r>
      <w:r w:rsidR="00B8575F" w:rsidRPr="00F320B6">
        <w:rPr>
          <w:rFonts w:ascii="Calibri" w:eastAsia="Calibri" w:hAnsi="Calibri" w:cs="Calibri"/>
          <w:bCs/>
          <w:sz w:val="22"/>
          <w:szCs w:val="22"/>
        </w:rPr>
        <w:t>d</w:t>
      </w:r>
      <w:r w:rsidR="00506AFE" w:rsidRPr="00F320B6">
        <w:rPr>
          <w:rFonts w:ascii="Calibri" w:eastAsia="Calibri" w:hAnsi="Calibri" w:cs="Calibri"/>
          <w:bCs/>
          <w:sz w:val="22"/>
          <w:szCs w:val="22"/>
        </w:rPr>
        <w:t xml:space="preserve"> </w:t>
      </w:r>
      <w:r w:rsidR="00CD1CF3" w:rsidRPr="00F320B6">
        <w:rPr>
          <w:rFonts w:ascii="Calibri" w:eastAsia="Calibri" w:hAnsi="Calibri" w:cs="Calibri"/>
          <w:bCs/>
          <w:sz w:val="22"/>
          <w:szCs w:val="22"/>
        </w:rPr>
        <w:t xml:space="preserve">for </w:t>
      </w:r>
      <w:r w:rsidR="0025425B" w:rsidRPr="00F320B6">
        <w:rPr>
          <w:rFonts w:ascii="Calibri" w:eastAsia="Calibri" w:hAnsi="Calibri" w:cs="Calibri"/>
          <w:bCs/>
          <w:sz w:val="22"/>
          <w:szCs w:val="22"/>
        </w:rPr>
        <w:t xml:space="preserve">temporary contract </w:t>
      </w:r>
      <w:r w:rsidR="0025425B" w:rsidRPr="00F320B6">
        <w:rPr>
          <w:rFonts w:ascii="Calibri" w:eastAsia="Calibri" w:hAnsi="Calibri" w:cs="Calibri"/>
          <w:bCs/>
          <w:sz w:val="22"/>
          <w:szCs w:val="22"/>
        </w:rPr>
        <w:lastRenderedPageBreak/>
        <w:t>employees</w:t>
      </w:r>
      <w:r w:rsidR="00506AFE" w:rsidRPr="00F320B6">
        <w:rPr>
          <w:rFonts w:ascii="Calibri" w:eastAsia="Calibri" w:hAnsi="Calibri" w:cs="Calibri"/>
          <w:bCs/>
          <w:sz w:val="22"/>
          <w:szCs w:val="22"/>
        </w:rPr>
        <w:t>.</w:t>
      </w:r>
      <w:r w:rsidR="0025425B" w:rsidRPr="00F320B6">
        <w:rPr>
          <w:rFonts w:ascii="Calibri" w:eastAsia="Calibri" w:hAnsi="Calibri" w:cs="Calibri"/>
          <w:bCs/>
          <w:sz w:val="22"/>
          <w:szCs w:val="22"/>
        </w:rPr>
        <w:t xml:space="preserve"> </w:t>
      </w:r>
      <w:r w:rsidR="00B8575F">
        <w:rPr>
          <w:rFonts w:ascii="Calibri" w:eastAsia="Calibri" w:hAnsi="Calibri" w:cs="Calibri"/>
          <w:b/>
          <w:bCs/>
          <w:sz w:val="22"/>
          <w:szCs w:val="22"/>
        </w:rPr>
        <w:t>CHA believes that temporary contract employees should not be subject to the same comprehensive staff education and training requirements as we believe this will become administratively burdensome</w:t>
      </w:r>
      <w:r w:rsidR="00454326">
        <w:rPr>
          <w:rFonts w:ascii="Calibri" w:eastAsia="Calibri" w:hAnsi="Calibri" w:cs="Calibri"/>
          <w:b/>
          <w:bCs/>
          <w:sz w:val="22"/>
          <w:szCs w:val="22"/>
        </w:rPr>
        <w:t>,</w:t>
      </w:r>
      <w:r w:rsidR="00B8575F">
        <w:rPr>
          <w:rFonts w:ascii="Calibri" w:eastAsia="Calibri" w:hAnsi="Calibri" w:cs="Calibri"/>
          <w:b/>
          <w:bCs/>
          <w:sz w:val="22"/>
          <w:szCs w:val="22"/>
        </w:rPr>
        <w:t xml:space="preserve"> costly</w:t>
      </w:r>
      <w:r w:rsidR="00454326">
        <w:rPr>
          <w:rFonts w:ascii="Calibri" w:eastAsia="Calibri" w:hAnsi="Calibri" w:cs="Calibri"/>
          <w:b/>
          <w:bCs/>
          <w:sz w:val="22"/>
          <w:szCs w:val="22"/>
        </w:rPr>
        <w:t>,</w:t>
      </w:r>
      <w:r w:rsidR="00B8575F">
        <w:rPr>
          <w:rFonts w:ascii="Calibri" w:eastAsia="Calibri" w:hAnsi="Calibri" w:cs="Calibri"/>
          <w:b/>
          <w:bCs/>
          <w:sz w:val="22"/>
          <w:szCs w:val="22"/>
        </w:rPr>
        <w:t xml:space="preserve"> and not improve patient care.</w:t>
      </w:r>
    </w:p>
    <w:p w14:paraId="07F6DDBA" w14:textId="77777777" w:rsidR="00B92DDC" w:rsidRDefault="00B92DDC" w:rsidP="00B92DDC">
      <w:pPr>
        <w:rPr>
          <w:rFonts w:ascii="Calibri" w:eastAsia="Calibri" w:hAnsi="Calibri" w:cs="Calibri"/>
          <w:i/>
          <w:iCs/>
          <w:sz w:val="22"/>
          <w:szCs w:val="22"/>
        </w:rPr>
      </w:pPr>
    </w:p>
    <w:p w14:paraId="2ABCD485" w14:textId="5E05913B" w:rsidR="00B92DDC" w:rsidRDefault="00207870" w:rsidP="00B92DDC">
      <w:pPr>
        <w:rPr>
          <w:rFonts w:ascii="Calibri" w:eastAsia="Calibri" w:hAnsi="Calibri" w:cs="Calibri"/>
          <w:i/>
          <w:iCs/>
          <w:sz w:val="22"/>
          <w:szCs w:val="22"/>
        </w:rPr>
      </w:pPr>
      <w:r>
        <w:rPr>
          <w:rFonts w:ascii="Calibri" w:eastAsia="Calibri" w:hAnsi="Calibri" w:cs="Calibri"/>
          <w:i/>
          <w:iCs/>
          <w:sz w:val="22"/>
          <w:szCs w:val="22"/>
        </w:rPr>
        <w:t xml:space="preserve">Confirm that </w:t>
      </w:r>
      <w:r w:rsidR="00B92DDC">
        <w:rPr>
          <w:rFonts w:ascii="Calibri" w:eastAsia="Calibri" w:hAnsi="Calibri" w:cs="Calibri"/>
          <w:i/>
          <w:iCs/>
          <w:sz w:val="22"/>
          <w:szCs w:val="22"/>
        </w:rPr>
        <w:t xml:space="preserve">Voluntary or Involuntary </w:t>
      </w:r>
      <w:r w:rsidR="0074036F">
        <w:rPr>
          <w:rFonts w:ascii="Calibri" w:eastAsia="Calibri" w:hAnsi="Calibri" w:cs="Calibri"/>
          <w:i/>
          <w:iCs/>
          <w:sz w:val="22"/>
          <w:szCs w:val="22"/>
        </w:rPr>
        <w:t xml:space="preserve">Legal </w:t>
      </w:r>
      <w:r w:rsidR="00B92DDC">
        <w:rPr>
          <w:rFonts w:ascii="Calibri" w:eastAsia="Calibri" w:hAnsi="Calibri" w:cs="Calibri"/>
          <w:i/>
          <w:iCs/>
          <w:sz w:val="22"/>
          <w:szCs w:val="22"/>
        </w:rPr>
        <w:t>Status</w:t>
      </w:r>
      <w:r>
        <w:rPr>
          <w:rFonts w:ascii="Calibri" w:eastAsia="Calibri" w:hAnsi="Calibri" w:cs="Calibri"/>
          <w:i/>
          <w:iCs/>
          <w:sz w:val="22"/>
          <w:szCs w:val="22"/>
        </w:rPr>
        <w:t xml:space="preserve"> Is</w:t>
      </w:r>
      <w:r w:rsidR="00B92DDC">
        <w:rPr>
          <w:rFonts w:ascii="Calibri" w:eastAsia="Calibri" w:hAnsi="Calibri" w:cs="Calibri"/>
          <w:i/>
          <w:iCs/>
          <w:sz w:val="22"/>
          <w:szCs w:val="22"/>
        </w:rPr>
        <w:t xml:space="preserve"> Irrelevant</w:t>
      </w:r>
    </w:p>
    <w:p w14:paraId="2931BC6C" w14:textId="12A54C83" w:rsidR="00B92DDC" w:rsidRPr="00207870" w:rsidRDefault="00B92DDC" w:rsidP="00B92DDC">
      <w:pPr>
        <w:rPr>
          <w:rFonts w:ascii="Calibri" w:eastAsia="Calibri" w:hAnsi="Calibri" w:cs="Calibri"/>
          <w:sz w:val="22"/>
          <w:szCs w:val="22"/>
        </w:rPr>
      </w:pPr>
      <w:r>
        <w:rPr>
          <w:rFonts w:ascii="Calibri" w:eastAsia="Calibri" w:hAnsi="Calibri" w:cs="Calibri"/>
          <w:sz w:val="22"/>
          <w:szCs w:val="22"/>
        </w:rPr>
        <w:t xml:space="preserve">State laws govern mental health civil commitments. As such, </w:t>
      </w:r>
      <w:r w:rsidR="00207870">
        <w:rPr>
          <w:rFonts w:ascii="Calibri" w:eastAsia="Calibri" w:hAnsi="Calibri" w:cs="Calibri"/>
          <w:sz w:val="22"/>
          <w:szCs w:val="22"/>
        </w:rPr>
        <w:t xml:space="preserve">application of ligature risk would not be dependent on </w:t>
      </w:r>
      <w:r>
        <w:rPr>
          <w:rFonts w:ascii="Calibri" w:eastAsia="Calibri" w:hAnsi="Calibri" w:cs="Calibri"/>
          <w:sz w:val="22"/>
          <w:szCs w:val="22"/>
        </w:rPr>
        <w:t xml:space="preserve">whether a patient in a psychiatric hospital or acute care hospital is under an involuntary civil commitment or is there voluntarily. </w:t>
      </w:r>
      <w:r w:rsidRPr="00506AFE">
        <w:rPr>
          <w:rFonts w:ascii="Calibri" w:eastAsia="Calibri" w:hAnsi="Calibri" w:cs="Calibri"/>
          <w:b/>
          <w:bCs/>
          <w:sz w:val="22"/>
          <w:szCs w:val="22"/>
        </w:rPr>
        <w:t xml:space="preserve">CHA requests confirmation of its understanding that the situations </w:t>
      </w:r>
      <w:r w:rsidR="00207870">
        <w:rPr>
          <w:rFonts w:ascii="Calibri" w:eastAsia="Calibri" w:hAnsi="Calibri" w:cs="Calibri"/>
          <w:b/>
          <w:bCs/>
          <w:sz w:val="22"/>
          <w:szCs w:val="22"/>
        </w:rPr>
        <w:t>to</w:t>
      </w:r>
      <w:r w:rsidRPr="00506AFE">
        <w:rPr>
          <w:rFonts w:ascii="Calibri" w:eastAsia="Calibri" w:hAnsi="Calibri" w:cs="Calibri"/>
          <w:b/>
          <w:bCs/>
          <w:sz w:val="22"/>
          <w:szCs w:val="22"/>
        </w:rPr>
        <w:t xml:space="preserve"> which this guidance applies are based on the </w:t>
      </w:r>
      <w:r w:rsidR="00CD1CF3">
        <w:rPr>
          <w:rFonts w:ascii="Calibri" w:eastAsia="Calibri" w:hAnsi="Calibri" w:cs="Calibri"/>
          <w:b/>
          <w:bCs/>
          <w:sz w:val="22"/>
          <w:szCs w:val="22"/>
        </w:rPr>
        <w:t xml:space="preserve">clinical </w:t>
      </w:r>
      <w:r w:rsidRPr="00506AFE">
        <w:rPr>
          <w:rFonts w:ascii="Calibri" w:eastAsia="Calibri" w:hAnsi="Calibri" w:cs="Calibri"/>
          <w:b/>
          <w:bCs/>
          <w:sz w:val="22"/>
          <w:szCs w:val="22"/>
        </w:rPr>
        <w:t xml:space="preserve">setting and not the patient’s voluntary or involuntary </w:t>
      </w:r>
      <w:r w:rsidR="0074036F">
        <w:rPr>
          <w:rFonts w:ascii="Calibri" w:eastAsia="Calibri" w:hAnsi="Calibri" w:cs="Calibri"/>
          <w:b/>
          <w:bCs/>
          <w:sz w:val="22"/>
          <w:szCs w:val="22"/>
        </w:rPr>
        <w:t xml:space="preserve">legal </w:t>
      </w:r>
      <w:r w:rsidRPr="00506AFE">
        <w:rPr>
          <w:rFonts w:ascii="Calibri" w:eastAsia="Calibri" w:hAnsi="Calibri" w:cs="Calibri"/>
          <w:b/>
          <w:bCs/>
          <w:sz w:val="22"/>
          <w:szCs w:val="22"/>
        </w:rPr>
        <w:t>status under state civil commitment law</w:t>
      </w:r>
      <w:r w:rsidR="00596A07">
        <w:rPr>
          <w:rFonts w:ascii="Calibri" w:eastAsia="Calibri" w:hAnsi="Calibri" w:cs="Calibri"/>
          <w:b/>
          <w:bCs/>
          <w:sz w:val="22"/>
          <w:szCs w:val="22"/>
        </w:rPr>
        <w:t>s</w:t>
      </w:r>
      <w:r w:rsidRPr="00506AFE">
        <w:rPr>
          <w:rFonts w:ascii="Calibri" w:eastAsia="Calibri" w:hAnsi="Calibri" w:cs="Calibri"/>
          <w:b/>
          <w:bCs/>
          <w:sz w:val="22"/>
          <w:szCs w:val="22"/>
        </w:rPr>
        <w:t>.</w:t>
      </w:r>
      <w:r w:rsidR="00E861F1">
        <w:rPr>
          <w:rFonts w:ascii="Calibri" w:eastAsia="Calibri" w:hAnsi="Calibri" w:cs="Calibri"/>
          <w:b/>
          <w:bCs/>
          <w:sz w:val="22"/>
          <w:szCs w:val="22"/>
        </w:rPr>
        <w:t xml:space="preserve"> </w:t>
      </w:r>
      <w:r w:rsidR="00E861F1" w:rsidRPr="008A7C01">
        <w:rPr>
          <w:rFonts w:ascii="Calibri" w:eastAsia="Calibri" w:hAnsi="Calibri" w:cs="Calibri"/>
          <w:b/>
          <w:sz w:val="22"/>
          <w:szCs w:val="22"/>
        </w:rPr>
        <w:t xml:space="preserve">For example, for clarity, it would </w:t>
      </w:r>
      <w:r w:rsidR="0074036F" w:rsidRPr="008A7C01">
        <w:rPr>
          <w:rFonts w:ascii="Calibri" w:eastAsia="Calibri" w:hAnsi="Calibri" w:cs="Calibri"/>
          <w:b/>
          <w:sz w:val="22"/>
          <w:szCs w:val="22"/>
        </w:rPr>
        <w:t xml:space="preserve">be </w:t>
      </w:r>
      <w:r w:rsidR="00E861F1" w:rsidRPr="008A7C01">
        <w:rPr>
          <w:rFonts w:ascii="Calibri" w:eastAsia="Calibri" w:hAnsi="Calibri" w:cs="Calibri"/>
          <w:b/>
          <w:sz w:val="22"/>
          <w:szCs w:val="22"/>
        </w:rPr>
        <w:t xml:space="preserve">helpful if CMS were to consider </w:t>
      </w:r>
      <w:r w:rsidR="00207870" w:rsidRPr="00F320B6">
        <w:rPr>
          <w:rFonts w:ascii="Calibri" w:eastAsia="Calibri" w:hAnsi="Calibri" w:cs="Calibri"/>
          <w:b/>
          <w:sz w:val="22"/>
          <w:szCs w:val="22"/>
        </w:rPr>
        <w:t xml:space="preserve">placing </w:t>
      </w:r>
      <w:r w:rsidR="00E861F1" w:rsidRPr="008A7C01">
        <w:rPr>
          <w:rFonts w:ascii="Calibri" w:eastAsia="Calibri" w:hAnsi="Calibri" w:cs="Calibri"/>
          <w:b/>
          <w:sz w:val="22"/>
          <w:szCs w:val="22"/>
        </w:rPr>
        <w:t>the following sentence</w:t>
      </w:r>
      <w:r w:rsidR="00207870" w:rsidRPr="00F320B6">
        <w:rPr>
          <w:rFonts w:ascii="Calibri" w:eastAsia="Calibri" w:hAnsi="Calibri" w:cs="Calibri"/>
          <w:b/>
          <w:sz w:val="22"/>
          <w:szCs w:val="22"/>
        </w:rPr>
        <w:t xml:space="preserve"> on page 8 of</w:t>
      </w:r>
      <w:r w:rsidR="00E861F1" w:rsidRPr="008A7C01">
        <w:rPr>
          <w:rFonts w:ascii="Calibri" w:eastAsia="Calibri" w:hAnsi="Calibri" w:cs="Calibri"/>
          <w:b/>
          <w:sz w:val="22"/>
          <w:szCs w:val="22"/>
        </w:rPr>
        <w:t xml:space="preserve"> the guidance: </w:t>
      </w:r>
      <w:r w:rsidR="00805578" w:rsidRPr="008A7C01">
        <w:rPr>
          <w:rFonts w:ascii="Calibri" w:eastAsia="Calibri" w:hAnsi="Calibri" w:cs="Calibri"/>
          <w:b/>
          <w:sz w:val="22"/>
          <w:szCs w:val="22"/>
        </w:rPr>
        <w:t xml:space="preserve">“Under state civil commitment laws, a psychiatric patient may be under an involuntary civil commitment or be there voluntarily. This </w:t>
      </w:r>
      <w:r w:rsidR="0074036F" w:rsidRPr="00F320B6">
        <w:rPr>
          <w:rFonts w:ascii="Calibri" w:eastAsia="Calibri" w:hAnsi="Calibri" w:cs="Calibri"/>
          <w:b/>
          <w:sz w:val="22"/>
          <w:szCs w:val="22"/>
        </w:rPr>
        <w:t xml:space="preserve">legal </w:t>
      </w:r>
      <w:r w:rsidR="00805578" w:rsidRPr="00F320B6">
        <w:rPr>
          <w:rFonts w:ascii="Calibri" w:eastAsia="Calibri" w:hAnsi="Calibri" w:cs="Calibri"/>
          <w:b/>
          <w:sz w:val="22"/>
          <w:szCs w:val="22"/>
        </w:rPr>
        <w:t>status is irrelevant to the determination of whether a setting must be ligature resistant.”</w:t>
      </w:r>
    </w:p>
    <w:p w14:paraId="7416475C" w14:textId="77777777" w:rsidR="00B92DDC" w:rsidRDefault="00B92DDC" w:rsidP="00B92DDC">
      <w:pPr>
        <w:rPr>
          <w:rFonts w:ascii="Calibri" w:eastAsia="Calibri" w:hAnsi="Calibri" w:cs="Calibri"/>
          <w:i/>
          <w:iCs/>
          <w:sz w:val="22"/>
          <w:szCs w:val="22"/>
        </w:rPr>
      </w:pPr>
    </w:p>
    <w:p w14:paraId="5F42AA89" w14:textId="5A2ADE6D" w:rsidR="00572D18" w:rsidRDefault="00572D18" w:rsidP="005345CD">
      <w:pPr>
        <w:rPr>
          <w:rFonts w:asciiTheme="minorHAnsi" w:eastAsia="Calibri" w:hAnsiTheme="minorHAnsi" w:cs="Calibri"/>
          <w:b/>
          <w:bCs/>
          <w:smallCaps/>
          <w:szCs w:val="24"/>
          <w:highlight w:val="yellow"/>
        </w:rPr>
      </w:pPr>
      <w:r w:rsidRPr="00572D18">
        <w:rPr>
          <w:rFonts w:asciiTheme="minorHAnsi" w:hAnsiTheme="minorHAnsi" w:cs="Calibri"/>
          <w:b/>
          <w:bCs/>
          <w:smallCaps/>
          <w:szCs w:val="24"/>
        </w:rPr>
        <w:t>Chapter 2/Section 2728G/Major Deficiencies Requiring Long-Term Correction in Psychiatric Hospitals and Hospital Psychiatric Units, LRER</w:t>
      </w:r>
    </w:p>
    <w:p w14:paraId="6054A05B" w14:textId="6F7D2EF5" w:rsidR="00C2477C" w:rsidRPr="00572D18" w:rsidRDefault="00A56A54" w:rsidP="00B3392A">
      <w:pPr>
        <w:rPr>
          <w:rFonts w:ascii="Calibri" w:eastAsia="Calibri" w:hAnsi="Calibri" w:cs="Calibri"/>
          <w:sz w:val="22"/>
          <w:szCs w:val="22"/>
        </w:rPr>
      </w:pPr>
      <w:r w:rsidRPr="00572D18">
        <w:rPr>
          <w:rFonts w:ascii="Calibri" w:eastAsia="Calibri" w:hAnsi="Calibri" w:cs="Calibri"/>
          <w:sz w:val="22"/>
          <w:szCs w:val="22"/>
        </w:rPr>
        <w:t xml:space="preserve">CMS </w:t>
      </w:r>
      <w:r w:rsidR="005C4663">
        <w:rPr>
          <w:rFonts w:ascii="Calibri" w:eastAsia="Calibri" w:hAnsi="Calibri" w:cs="Calibri"/>
          <w:sz w:val="22"/>
          <w:szCs w:val="22"/>
        </w:rPr>
        <w:t>e</w:t>
      </w:r>
      <w:r w:rsidR="005C4663" w:rsidRPr="005C4663">
        <w:rPr>
          <w:rFonts w:ascii="Calibri" w:eastAsia="Calibri" w:hAnsi="Calibri" w:cs="Calibri"/>
          <w:sz w:val="22"/>
          <w:szCs w:val="22"/>
        </w:rPr>
        <w:t xml:space="preserve">stablishes a </w:t>
      </w:r>
      <w:r w:rsidR="005C4663">
        <w:rPr>
          <w:rFonts w:ascii="Calibri" w:eastAsia="Calibri" w:hAnsi="Calibri" w:cs="Calibri"/>
          <w:sz w:val="22"/>
          <w:szCs w:val="22"/>
        </w:rPr>
        <w:t>LRER p</w:t>
      </w:r>
      <w:r w:rsidR="005C4663" w:rsidRPr="005C4663">
        <w:rPr>
          <w:rFonts w:ascii="Calibri" w:eastAsia="Calibri" w:hAnsi="Calibri" w:cs="Calibri"/>
          <w:sz w:val="22"/>
          <w:szCs w:val="22"/>
        </w:rPr>
        <w:t>rocess</w:t>
      </w:r>
      <w:r w:rsidR="005C4663">
        <w:rPr>
          <w:rFonts w:ascii="Calibri" w:eastAsia="Calibri" w:hAnsi="Calibri" w:cs="Calibri"/>
          <w:sz w:val="22"/>
          <w:szCs w:val="22"/>
        </w:rPr>
        <w:t xml:space="preserve"> </w:t>
      </w:r>
      <w:r w:rsidR="00572D18" w:rsidRPr="00572D18">
        <w:rPr>
          <w:rFonts w:ascii="Calibri" w:eastAsia="Calibri" w:hAnsi="Calibri" w:cs="Calibri"/>
          <w:sz w:val="22"/>
          <w:szCs w:val="22"/>
        </w:rPr>
        <w:t>for hospitals to request additional time to address ligature risks with the goal of achieving compliance</w:t>
      </w:r>
      <w:r w:rsidR="005C4663">
        <w:rPr>
          <w:rFonts w:ascii="Calibri" w:eastAsia="Calibri" w:hAnsi="Calibri" w:cs="Calibri"/>
          <w:sz w:val="22"/>
          <w:szCs w:val="22"/>
        </w:rPr>
        <w:t xml:space="preserve"> in a reasonable time</w:t>
      </w:r>
      <w:r w:rsidR="00D61E48">
        <w:rPr>
          <w:rFonts w:ascii="Calibri" w:eastAsia="Calibri" w:hAnsi="Calibri" w:cs="Calibri"/>
          <w:sz w:val="22"/>
          <w:szCs w:val="22"/>
        </w:rPr>
        <w:t xml:space="preserve"> </w:t>
      </w:r>
      <w:r w:rsidR="005C4663">
        <w:rPr>
          <w:rFonts w:ascii="Calibri" w:eastAsia="Calibri" w:hAnsi="Calibri" w:cs="Calibri"/>
          <w:sz w:val="22"/>
          <w:szCs w:val="22"/>
        </w:rPr>
        <w:t>frame.</w:t>
      </w:r>
      <w:r w:rsidR="00B3392A" w:rsidRPr="00B3392A">
        <w:t xml:space="preserve"> </w:t>
      </w:r>
      <w:r w:rsidR="00B3392A">
        <w:rPr>
          <w:rFonts w:ascii="Calibri" w:eastAsia="Calibri" w:hAnsi="Calibri" w:cs="Calibri"/>
          <w:sz w:val="22"/>
          <w:szCs w:val="22"/>
        </w:rPr>
        <w:t xml:space="preserve">Specifically, the </w:t>
      </w:r>
      <w:r w:rsidR="00B3392A" w:rsidRPr="00B3392A">
        <w:rPr>
          <w:rFonts w:ascii="Calibri" w:eastAsia="Calibri" w:hAnsi="Calibri" w:cs="Calibri"/>
          <w:sz w:val="22"/>
          <w:szCs w:val="22"/>
        </w:rPr>
        <w:t>RO, SA</w:t>
      </w:r>
      <w:r w:rsidR="008548E7">
        <w:rPr>
          <w:rFonts w:ascii="Calibri" w:eastAsia="Calibri" w:hAnsi="Calibri" w:cs="Calibri"/>
          <w:sz w:val="22"/>
          <w:szCs w:val="22"/>
        </w:rPr>
        <w:t>,</w:t>
      </w:r>
      <w:r w:rsidR="00B3392A" w:rsidRPr="00B3392A">
        <w:rPr>
          <w:rFonts w:ascii="Calibri" w:eastAsia="Calibri" w:hAnsi="Calibri" w:cs="Calibri"/>
          <w:sz w:val="22"/>
          <w:szCs w:val="22"/>
        </w:rPr>
        <w:t xml:space="preserve"> or AO may </w:t>
      </w:r>
      <w:r w:rsidR="00D61E48">
        <w:rPr>
          <w:rFonts w:ascii="Calibri" w:eastAsia="Calibri" w:hAnsi="Calibri" w:cs="Calibri"/>
          <w:sz w:val="22"/>
          <w:szCs w:val="22"/>
        </w:rPr>
        <w:t xml:space="preserve">— if, in their judgement, it is not reasonable to expect compliance within 60 days — </w:t>
      </w:r>
      <w:r w:rsidR="00B3392A" w:rsidRPr="00B3392A">
        <w:rPr>
          <w:rFonts w:ascii="Calibri" w:eastAsia="Calibri" w:hAnsi="Calibri" w:cs="Calibri"/>
          <w:sz w:val="22"/>
          <w:szCs w:val="22"/>
        </w:rPr>
        <w:t xml:space="preserve">recommend </w:t>
      </w:r>
      <w:r w:rsidR="00D61E48">
        <w:rPr>
          <w:rFonts w:ascii="Calibri" w:eastAsia="Calibri" w:hAnsi="Calibri" w:cs="Calibri"/>
          <w:sz w:val="22"/>
          <w:szCs w:val="22"/>
        </w:rPr>
        <w:t xml:space="preserve">the Secretary grant </w:t>
      </w:r>
      <w:r w:rsidR="00B3392A" w:rsidRPr="00B3392A">
        <w:rPr>
          <w:rFonts w:ascii="Calibri" w:eastAsia="Calibri" w:hAnsi="Calibri" w:cs="Calibri"/>
          <w:sz w:val="22"/>
          <w:szCs w:val="22"/>
        </w:rPr>
        <w:t xml:space="preserve">additional time in individual situations. </w:t>
      </w:r>
      <w:r w:rsidR="00D61E48">
        <w:rPr>
          <w:rFonts w:ascii="Calibri" w:eastAsia="Calibri" w:hAnsi="Calibri" w:cs="Calibri"/>
          <w:sz w:val="22"/>
          <w:szCs w:val="22"/>
        </w:rPr>
        <w:t>For example, d</w:t>
      </w:r>
      <w:r w:rsidR="00B3392A" w:rsidRPr="00B3392A">
        <w:rPr>
          <w:rFonts w:ascii="Calibri" w:eastAsia="Calibri" w:hAnsi="Calibri" w:cs="Calibri"/>
          <w:sz w:val="22"/>
          <w:szCs w:val="22"/>
        </w:rPr>
        <w:t xml:space="preserve">elays may </w:t>
      </w:r>
      <w:r w:rsidR="00D61E48">
        <w:rPr>
          <w:rFonts w:ascii="Calibri" w:eastAsia="Calibri" w:hAnsi="Calibri" w:cs="Calibri"/>
          <w:sz w:val="22"/>
          <w:szCs w:val="22"/>
        </w:rPr>
        <w:t>be related to</w:t>
      </w:r>
      <w:r w:rsidR="00B3392A" w:rsidRPr="00B3392A">
        <w:rPr>
          <w:rFonts w:ascii="Calibri" w:eastAsia="Calibri" w:hAnsi="Calibri" w:cs="Calibri"/>
          <w:sz w:val="22"/>
          <w:szCs w:val="22"/>
        </w:rPr>
        <w:t xml:space="preserve">: </w:t>
      </w:r>
      <w:r w:rsidR="00B3392A">
        <w:rPr>
          <w:rFonts w:ascii="Calibri" w:eastAsia="Calibri" w:hAnsi="Calibri" w:cs="Calibri"/>
          <w:sz w:val="22"/>
          <w:szCs w:val="22"/>
        </w:rPr>
        <w:t>o</w:t>
      </w:r>
      <w:r w:rsidR="00B3392A" w:rsidRPr="00B3392A">
        <w:rPr>
          <w:rFonts w:ascii="Calibri" w:eastAsia="Calibri" w:hAnsi="Calibri" w:cs="Calibri"/>
          <w:sz w:val="22"/>
          <w:szCs w:val="22"/>
        </w:rPr>
        <w:t xml:space="preserve">btaining approval of the governing body, </w:t>
      </w:r>
      <w:r w:rsidR="00B3392A">
        <w:rPr>
          <w:rFonts w:ascii="Calibri" w:eastAsia="Calibri" w:hAnsi="Calibri" w:cs="Calibri"/>
          <w:sz w:val="22"/>
          <w:szCs w:val="22"/>
        </w:rPr>
        <w:t>e</w:t>
      </w:r>
      <w:r w:rsidR="00B3392A" w:rsidRPr="00B3392A">
        <w:rPr>
          <w:rFonts w:ascii="Calibri" w:eastAsia="Calibri" w:hAnsi="Calibri" w:cs="Calibri"/>
          <w:sz w:val="22"/>
          <w:szCs w:val="22"/>
        </w:rPr>
        <w:t xml:space="preserve">ngaging in competitive bidding, </w:t>
      </w:r>
      <w:r w:rsidR="00B3392A">
        <w:rPr>
          <w:rFonts w:ascii="Calibri" w:eastAsia="Calibri" w:hAnsi="Calibri" w:cs="Calibri"/>
          <w:sz w:val="22"/>
          <w:szCs w:val="22"/>
        </w:rPr>
        <w:t>a</w:t>
      </w:r>
      <w:r w:rsidR="00B3392A" w:rsidRPr="00B3392A">
        <w:rPr>
          <w:rFonts w:ascii="Calibri" w:eastAsia="Calibri" w:hAnsi="Calibri" w:cs="Calibri"/>
          <w:sz w:val="22"/>
          <w:szCs w:val="22"/>
        </w:rPr>
        <w:t xml:space="preserve">pplying for funding, </w:t>
      </w:r>
      <w:r w:rsidR="00B3392A">
        <w:rPr>
          <w:rFonts w:ascii="Calibri" w:eastAsia="Calibri" w:hAnsi="Calibri" w:cs="Calibri"/>
          <w:sz w:val="22"/>
          <w:szCs w:val="22"/>
        </w:rPr>
        <w:t>o</w:t>
      </w:r>
      <w:r w:rsidR="00B3392A" w:rsidRPr="00B3392A">
        <w:rPr>
          <w:rFonts w:ascii="Calibri" w:eastAsia="Calibri" w:hAnsi="Calibri" w:cs="Calibri"/>
          <w:sz w:val="22"/>
          <w:szCs w:val="22"/>
        </w:rPr>
        <w:t>btaining permits for physical changes, and</w:t>
      </w:r>
      <w:r w:rsidR="00B3392A">
        <w:rPr>
          <w:rFonts w:ascii="Calibri" w:eastAsia="Calibri" w:hAnsi="Calibri" w:cs="Calibri"/>
          <w:sz w:val="22"/>
          <w:szCs w:val="22"/>
        </w:rPr>
        <w:t xml:space="preserve"> </w:t>
      </w:r>
      <w:r w:rsidR="00B3392A" w:rsidRPr="00B3392A">
        <w:rPr>
          <w:rFonts w:ascii="Calibri" w:eastAsia="Calibri" w:hAnsi="Calibri" w:cs="Calibri"/>
          <w:sz w:val="22"/>
          <w:szCs w:val="22"/>
        </w:rPr>
        <w:t>obtaining products and supplies needed for corrective actions.</w:t>
      </w:r>
      <w:r w:rsidR="00B3392A">
        <w:rPr>
          <w:rFonts w:ascii="Calibri" w:eastAsia="Calibri" w:hAnsi="Calibri" w:cs="Calibri"/>
          <w:sz w:val="22"/>
          <w:szCs w:val="22"/>
        </w:rPr>
        <w:t xml:space="preserve"> </w:t>
      </w:r>
      <w:r w:rsidR="00B3392A" w:rsidRPr="00B3392A">
        <w:rPr>
          <w:rFonts w:ascii="Calibri" w:eastAsia="Calibri" w:hAnsi="Calibri" w:cs="Calibri"/>
          <w:sz w:val="22"/>
          <w:szCs w:val="22"/>
        </w:rPr>
        <w:t>LRERs must include</w:t>
      </w:r>
      <w:r w:rsidR="00B3392A">
        <w:rPr>
          <w:rFonts w:ascii="Calibri" w:eastAsia="Calibri" w:hAnsi="Calibri" w:cs="Calibri"/>
          <w:sz w:val="22"/>
          <w:szCs w:val="22"/>
        </w:rPr>
        <w:t xml:space="preserve"> t</w:t>
      </w:r>
      <w:r w:rsidR="00B3392A" w:rsidRPr="00B3392A">
        <w:rPr>
          <w:rFonts w:ascii="Calibri" w:eastAsia="Calibri" w:hAnsi="Calibri" w:cs="Calibri"/>
          <w:sz w:val="22"/>
          <w:szCs w:val="22"/>
        </w:rPr>
        <w:t>he hospital’s accepted Plan of Correctio</w:t>
      </w:r>
      <w:r w:rsidR="00B3392A">
        <w:rPr>
          <w:rFonts w:ascii="Calibri" w:eastAsia="Calibri" w:hAnsi="Calibri" w:cs="Calibri"/>
          <w:sz w:val="22"/>
          <w:szCs w:val="22"/>
        </w:rPr>
        <w:t>n, a</w:t>
      </w:r>
      <w:r w:rsidR="00B3392A" w:rsidRPr="00B3392A">
        <w:rPr>
          <w:rFonts w:ascii="Calibri" w:eastAsia="Calibri" w:hAnsi="Calibri" w:cs="Calibri"/>
          <w:sz w:val="22"/>
          <w:szCs w:val="22"/>
        </w:rPr>
        <w:t xml:space="preserve"> risk mitigation plan ensuring patient safety</w:t>
      </w:r>
      <w:r w:rsidR="00B3392A">
        <w:rPr>
          <w:rFonts w:ascii="Calibri" w:eastAsia="Calibri" w:hAnsi="Calibri" w:cs="Calibri"/>
          <w:sz w:val="22"/>
          <w:szCs w:val="22"/>
        </w:rPr>
        <w:t>, ho</w:t>
      </w:r>
      <w:r w:rsidR="00B3392A" w:rsidRPr="00B3392A">
        <w:rPr>
          <w:rFonts w:ascii="Calibri" w:eastAsia="Calibri" w:hAnsi="Calibri" w:cs="Calibri"/>
          <w:sz w:val="22"/>
          <w:szCs w:val="22"/>
        </w:rPr>
        <w:t xml:space="preserve">w the evaluation of </w:t>
      </w:r>
      <w:r w:rsidR="00CD1CF3">
        <w:rPr>
          <w:rFonts w:ascii="Calibri" w:eastAsia="Calibri" w:hAnsi="Calibri" w:cs="Calibri"/>
          <w:sz w:val="22"/>
          <w:szCs w:val="22"/>
        </w:rPr>
        <w:t xml:space="preserve">the </w:t>
      </w:r>
      <w:r w:rsidR="00B3392A" w:rsidRPr="00B3392A">
        <w:rPr>
          <w:rFonts w:ascii="Calibri" w:eastAsia="Calibri" w:hAnsi="Calibri" w:cs="Calibri"/>
          <w:sz w:val="22"/>
          <w:szCs w:val="22"/>
        </w:rPr>
        <w:t>effective</w:t>
      </w:r>
      <w:r w:rsidR="00CD1CF3">
        <w:rPr>
          <w:rFonts w:ascii="Calibri" w:eastAsia="Calibri" w:hAnsi="Calibri" w:cs="Calibri"/>
          <w:sz w:val="22"/>
          <w:szCs w:val="22"/>
        </w:rPr>
        <w:t>ness</w:t>
      </w:r>
      <w:r w:rsidR="00B3392A" w:rsidRPr="00B3392A">
        <w:rPr>
          <w:rFonts w:ascii="Calibri" w:eastAsia="Calibri" w:hAnsi="Calibri" w:cs="Calibri"/>
          <w:sz w:val="22"/>
          <w:szCs w:val="22"/>
        </w:rPr>
        <w:t xml:space="preserve"> of the mitigation plan will occur</w:t>
      </w:r>
      <w:r w:rsidR="00B3392A">
        <w:rPr>
          <w:rFonts w:ascii="Calibri" w:eastAsia="Calibri" w:hAnsi="Calibri" w:cs="Calibri"/>
          <w:sz w:val="22"/>
          <w:szCs w:val="22"/>
        </w:rPr>
        <w:t>, and a</w:t>
      </w:r>
      <w:r w:rsidR="00B3392A" w:rsidRPr="00B3392A">
        <w:rPr>
          <w:rFonts w:ascii="Calibri" w:eastAsia="Calibri" w:hAnsi="Calibri" w:cs="Calibri"/>
          <w:sz w:val="22"/>
          <w:szCs w:val="22"/>
        </w:rPr>
        <w:t xml:space="preserve"> rationale for why </w:t>
      </w:r>
      <w:r w:rsidR="00CD1CF3">
        <w:rPr>
          <w:rFonts w:ascii="Calibri" w:eastAsia="Calibri" w:hAnsi="Calibri" w:cs="Calibri"/>
          <w:sz w:val="22"/>
          <w:szCs w:val="22"/>
        </w:rPr>
        <w:t xml:space="preserve">a </w:t>
      </w:r>
      <w:r w:rsidR="00B3392A" w:rsidRPr="00B3392A">
        <w:rPr>
          <w:rFonts w:ascii="Calibri" w:eastAsia="Calibri" w:hAnsi="Calibri" w:cs="Calibri"/>
          <w:sz w:val="22"/>
          <w:szCs w:val="22"/>
        </w:rPr>
        <w:t>60-day compliance timeframe is not reasonable</w:t>
      </w:r>
      <w:r w:rsidR="00B3392A">
        <w:rPr>
          <w:rFonts w:ascii="Calibri" w:eastAsia="Calibri" w:hAnsi="Calibri" w:cs="Calibri"/>
          <w:sz w:val="22"/>
          <w:szCs w:val="22"/>
        </w:rPr>
        <w:t>. In addition, h</w:t>
      </w:r>
      <w:r w:rsidR="00B3392A" w:rsidRPr="00B3392A">
        <w:rPr>
          <w:rFonts w:ascii="Calibri" w:eastAsia="Calibri" w:hAnsi="Calibri" w:cs="Calibri"/>
          <w:sz w:val="22"/>
          <w:szCs w:val="22"/>
        </w:rPr>
        <w:t>ospital</w:t>
      </w:r>
      <w:r w:rsidR="00B3392A">
        <w:rPr>
          <w:rFonts w:ascii="Calibri" w:eastAsia="Calibri" w:hAnsi="Calibri" w:cs="Calibri"/>
          <w:sz w:val="22"/>
          <w:szCs w:val="22"/>
        </w:rPr>
        <w:t>s</w:t>
      </w:r>
      <w:r w:rsidR="00B3392A" w:rsidRPr="00B3392A">
        <w:rPr>
          <w:rFonts w:ascii="Calibri" w:eastAsia="Calibri" w:hAnsi="Calibri" w:cs="Calibri"/>
          <w:sz w:val="22"/>
          <w:szCs w:val="22"/>
        </w:rPr>
        <w:t xml:space="preserve"> must submit monthly progress reports for all open LRERs</w:t>
      </w:r>
      <w:r w:rsidR="00B3392A">
        <w:rPr>
          <w:rFonts w:ascii="Calibri" w:eastAsia="Calibri" w:hAnsi="Calibri" w:cs="Calibri"/>
          <w:sz w:val="22"/>
          <w:szCs w:val="22"/>
        </w:rPr>
        <w:t>.</w:t>
      </w:r>
    </w:p>
    <w:p w14:paraId="6DC60E50" w14:textId="77777777" w:rsidR="005C4663" w:rsidRDefault="005C4663" w:rsidP="005345CD">
      <w:pPr>
        <w:rPr>
          <w:rFonts w:ascii="Calibri" w:eastAsia="Calibri" w:hAnsi="Calibri" w:cs="Calibri"/>
          <w:sz w:val="22"/>
          <w:szCs w:val="22"/>
          <w:highlight w:val="yellow"/>
        </w:rPr>
      </w:pPr>
    </w:p>
    <w:p w14:paraId="54920FD5" w14:textId="27B03551" w:rsidR="00B9720A" w:rsidRPr="00F320B6" w:rsidRDefault="00B9720A" w:rsidP="00337947">
      <w:pPr>
        <w:rPr>
          <w:rFonts w:ascii="Calibri" w:eastAsia="Calibri" w:hAnsi="Calibri" w:cs="Calibri"/>
          <w:bCs/>
          <w:sz w:val="22"/>
          <w:szCs w:val="22"/>
        </w:rPr>
      </w:pPr>
      <w:r>
        <w:rPr>
          <w:rFonts w:ascii="Calibri" w:eastAsia="Calibri" w:hAnsi="Calibri" w:cs="Calibri"/>
          <w:b/>
          <w:bCs/>
          <w:sz w:val="22"/>
          <w:szCs w:val="22"/>
        </w:rPr>
        <w:t xml:space="preserve">CHA commends CMS for including a process by which hospitals can </w:t>
      </w:r>
      <w:r w:rsidR="00D61E48">
        <w:rPr>
          <w:rFonts w:ascii="Calibri" w:eastAsia="Calibri" w:hAnsi="Calibri" w:cs="Calibri"/>
          <w:b/>
          <w:bCs/>
          <w:sz w:val="22"/>
          <w:szCs w:val="22"/>
        </w:rPr>
        <w:t xml:space="preserve">seek </w:t>
      </w:r>
      <w:r>
        <w:rPr>
          <w:rFonts w:ascii="Calibri" w:eastAsia="Calibri" w:hAnsi="Calibri" w:cs="Calibri"/>
          <w:b/>
          <w:bCs/>
          <w:sz w:val="22"/>
          <w:szCs w:val="22"/>
        </w:rPr>
        <w:t>sufficient time to comply</w:t>
      </w:r>
      <w:r w:rsidR="00D61E48">
        <w:rPr>
          <w:rFonts w:ascii="Calibri" w:eastAsia="Calibri" w:hAnsi="Calibri" w:cs="Calibri"/>
          <w:b/>
          <w:bCs/>
          <w:sz w:val="22"/>
          <w:szCs w:val="22"/>
        </w:rPr>
        <w:t xml:space="preserve"> when established </w:t>
      </w:r>
      <w:r>
        <w:rPr>
          <w:rFonts w:ascii="Calibri" w:eastAsia="Calibri" w:hAnsi="Calibri" w:cs="Calibri"/>
          <w:b/>
          <w:bCs/>
          <w:sz w:val="22"/>
          <w:szCs w:val="22"/>
        </w:rPr>
        <w:t>time</w:t>
      </w:r>
      <w:r w:rsidR="00D61E48">
        <w:rPr>
          <w:rFonts w:ascii="Calibri" w:eastAsia="Calibri" w:hAnsi="Calibri" w:cs="Calibri"/>
          <w:b/>
          <w:bCs/>
          <w:sz w:val="22"/>
          <w:szCs w:val="22"/>
        </w:rPr>
        <w:t xml:space="preserve"> </w:t>
      </w:r>
      <w:r>
        <w:rPr>
          <w:rFonts w:ascii="Calibri" w:eastAsia="Calibri" w:hAnsi="Calibri" w:cs="Calibri"/>
          <w:b/>
          <w:bCs/>
          <w:sz w:val="22"/>
          <w:szCs w:val="22"/>
        </w:rPr>
        <w:t>frames otherwise may not be feasible</w:t>
      </w:r>
      <w:r w:rsidR="00033B70">
        <w:rPr>
          <w:rFonts w:ascii="Calibri" w:eastAsia="Calibri" w:hAnsi="Calibri" w:cs="Calibri"/>
          <w:b/>
          <w:bCs/>
          <w:sz w:val="22"/>
          <w:szCs w:val="22"/>
        </w:rPr>
        <w:t>; below, we offer suggestions to clarify this new process</w:t>
      </w:r>
      <w:r w:rsidR="00D61E48">
        <w:rPr>
          <w:rFonts w:ascii="Calibri" w:eastAsia="Calibri" w:hAnsi="Calibri" w:cs="Calibri"/>
          <w:b/>
          <w:bCs/>
          <w:sz w:val="22"/>
          <w:szCs w:val="22"/>
        </w:rPr>
        <w:t xml:space="preserve">. </w:t>
      </w:r>
      <w:r w:rsidR="00033B70">
        <w:rPr>
          <w:rFonts w:ascii="Calibri" w:eastAsia="Calibri" w:hAnsi="Calibri" w:cs="Calibri"/>
          <w:b/>
          <w:bCs/>
          <w:sz w:val="22"/>
          <w:szCs w:val="22"/>
        </w:rPr>
        <w:t>Moving forward, w</w:t>
      </w:r>
      <w:r w:rsidR="00D61E48">
        <w:rPr>
          <w:rFonts w:ascii="Calibri" w:eastAsia="Calibri" w:hAnsi="Calibri" w:cs="Calibri"/>
          <w:b/>
          <w:bCs/>
          <w:sz w:val="22"/>
          <w:szCs w:val="22"/>
        </w:rPr>
        <w:t>e</w:t>
      </w:r>
      <w:r>
        <w:rPr>
          <w:rFonts w:ascii="Calibri" w:eastAsia="Calibri" w:hAnsi="Calibri" w:cs="Calibri"/>
          <w:b/>
          <w:bCs/>
          <w:sz w:val="22"/>
          <w:szCs w:val="22"/>
        </w:rPr>
        <w:t xml:space="preserve"> encourage CMS to consider using a similar process with other requirements.</w:t>
      </w:r>
      <w:r w:rsidR="00337947">
        <w:rPr>
          <w:rFonts w:ascii="Calibri" w:eastAsia="Calibri" w:hAnsi="Calibri" w:cs="Calibri"/>
          <w:b/>
          <w:bCs/>
          <w:sz w:val="22"/>
          <w:szCs w:val="22"/>
        </w:rPr>
        <w:t xml:space="preserve"> </w:t>
      </w:r>
      <w:r w:rsidR="00337947" w:rsidRPr="00F320B6">
        <w:rPr>
          <w:rFonts w:ascii="Calibri" w:eastAsia="Calibri" w:hAnsi="Calibri" w:cs="Calibri"/>
          <w:bCs/>
          <w:sz w:val="22"/>
          <w:szCs w:val="22"/>
        </w:rPr>
        <w:t xml:space="preserve">For instance, the pharmacy compounding chapters of the United States Pharmacopeia (USP)-National Formulary (USP 41-NF36), released </w:t>
      </w:r>
      <w:r w:rsidR="00596A07">
        <w:rPr>
          <w:rFonts w:ascii="Calibri" w:eastAsia="Calibri" w:hAnsi="Calibri" w:cs="Calibri"/>
          <w:bCs/>
          <w:sz w:val="22"/>
          <w:szCs w:val="22"/>
        </w:rPr>
        <w:t xml:space="preserve">May 31 and </w:t>
      </w:r>
      <w:r w:rsidR="00337947" w:rsidRPr="00F320B6">
        <w:rPr>
          <w:rFonts w:ascii="Calibri" w:eastAsia="Calibri" w:hAnsi="Calibri" w:cs="Calibri"/>
          <w:bCs/>
          <w:sz w:val="22"/>
          <w:szCs w:val="22"/>
        </w:rPr>
        <w:t>June 1, create a tight time</w:t>
      </w:r>
      <w:r w:rsidR="00D61E48">
        <w:rPr>
          <w:rFonts w:ascii="Calibri" w:eastAsia="Calibri" w:hAnsi="Calibri" w:cs="Calibri"/>
          <w:bCs/>
          <w:sz w:val="22"/>
          <w:szCs w:val="22"/>
        </w:rPr>
        <w:t xml:space="preserve"> </w:t>
      </w:r>
      <w:r w:rsidR="00337947" w:rsidRPr="00F320B6">
        <w:rPr>
          <w:rFonts w:ascii="Calibri" w:eastAsia="Calibri" w:hAnsi="Calibri" w:cs="Calibri"/>
          <w:bCs/>
          <w:sz w:val="22"/>
          <w:szCs w:val="22"/>
        </w:rPr>
        <w:t>frame</w:t>
      </w:r>
      <w:r w:rsidR="00D61E48">
        <w:rPr>
          <w:rFonts w:ascii="Calibri" w:eastAsia="Calibri" w:hAnsi="Calibri" w:cs="Calibri"/>
          <w:bCs/>
          <w:sz w:val="22"/>
          <w:szCs w:val="22"/>
        </w:rPr>
        <w:t xml:space="preserve"> that</w:t>
      </w:r>
      <w:r w:rsidR="00337947" w:rsidRPr="00F320B6">
        <w:rPr>
          <w:rFonts w:ascii="Calibri" w:eastAsia="Calibri" w:hAnsi="Calibri" w:cs="Calibri"/>
          <w:bCs/>
          <w:sz w:val="22"/>
          <w:szCs w:val="22"/>
        </w:rPr>
        <w:t xml:space="preserve"> </w:t>
      </w:r>
      <w:r w:rsidR="00DD51BC" w:rsidRPr="00F320B6">
        <w:rPr>
          <w:rFonts w:ascii="Calibri" w:eastAsia="Calibri" w:hAnsi="Calibri" w:cs="Calibri"/>
          <w:bCs/>
          <w:sz w:val="22"/>
          <w:szCs w:val="22"/>
        </w:rPr>
        <w:t>many</w:t>
      </w:r>
      <w:r w:rsidR="00337947" w:rsidRPr="00F320B6">
        <w:rPr>
          <w:rFonts w:ascii="Calibri" w:eastAsia="Calibri" w:hAnsi="Calibri" w:cs="Calibri"/>
          <w:bCs/>
          <w:sz w:val="22"/>
          <w:szCs w:val="22"/>
        </w:rPr>
        <w:t xml:space="preserve"> hospitals</w:t>
      </w:r>
      <w:r w:rsidR="00D61E48">
        <w:rPr>
          <w:rFonts w:ascii="Calibri" w:eastAsia="Calibri" w:hAnsi="Calibri" w:cs="Calibri"/>
          <w:bCs/>
          <w:sz w:val="22"/>
          <w:szCs w:val="22"/>
        </w:rPr>
        <w:t xml:space="preserve"> will be challenged in</w:t>
      </w:r>
      <w:r w:rsidR="00337947" w:rsidRPr="00F320B6">
        <w:rPr>
          <w:rFonts w:ascii="Calibri" w:eastAsia="Calibri" w:hAnsi="Calibri" w:cs="Calibri"/>
          <w:bCs/>
          <w:sz w:val="22"/>
          <w:szCs w:val="22"/>
        </w:rPr>
        <w:t xml:space="preserve"> meet</w:t>
      </w:r>
      <w:r w:rsidR="00D61E48">
        <w:rPr>
          <w:rFonts w:ascii="Calibri" w:eastAsia="Calibri" w:hAnsi="Calibri" w:cs="Calibri"/>
          <w:bCs/>
          <w:sz w:val="22"/>
          <w:szCs w:val="22"/>
        </w:rPr>
        <w:t>ing</w:t>
      </w:r>
      <w:r w:rsidR="00337947" w:rsidRPr="00F320B6">
        <w:rPr>
          <w:rFonts w:ascii="Calibri" w:eastAsia="Calibri" w:hAnsi="Calibri" w:cs="Calibri"/>
          <w:bCs/>
          <w:sz w:val="22"/>
          <w:szCs w:val="22"/>
        </w:rPr>
        <w:t xml:space="preserve">. With these and other regulatory requirements, even as we work in good faith, </w:t>
      </w:r>
      <w:r w:rsidR="00DD51BC" w:rsidRPr="00F320B6">
        <w:rPr>
          <w:rFonts w:ascii="Calibri" w:eastAsia="Calibri" w:hAnsi="Calibri" w:cs="Calibri"/>
          <w:bCs/>
          <w:sz w:val="22"/>
          <w:szCs w:val="22"/>
        </w:rPr>
        <w:t xml:space="preserve">experience has shown that </w:t>
      </w:r>
      <w:r w:rsidR="00337947" w:rsidRPr="00F320B6">
        <w:rPr>
          <w:rFonts w:ascii="Calibri" w:eastAsia="Calibri" w:hAnsi="Calibri" w:cs="Calibri"/>
          <w:bCs/>
          <w:sz w:val="22"/>
          <w:szCs w:val="22"/>
        </w:rPr>
        <w:t>additional time will be needed for construction or acquiring additional resources</w:t>
      </w:r>
      <w:r w:rsidR="00A75EFD" w:rsidRPr="00F320B6">
        <w:rPr>
          <w:rFonts w:ascii="Calibri" w:eastAsia="Calibri" w:hAnsi="Calibri" w:cs="Calibri"/>
          <w:bCs/>
          <w:sz w:val="22"/>
          <w:szCs w:val="22"/>
        </w:rPr>
        <w:t xml:space="preserve">. </w:t>
      </w:r>
    </w:p>
    <w:p w14:paraId="10625F76" w14:textId="77777777" w:rsidR="00B9720A" w:rsidRDefault="00B9720A" w:rsidP="005345CD">
      <w:pPr>
        <w:rPr>
          <w:rFonts w:ascii="Calibri" w:eastAsia="Calibri" w:hAnsi="Calibri" w:cs="Calibri"/>
          <w:b/>
          <w:bCs/>
          <w:sz w:val="22"/>
          <w:szCs w:val="22"/>
        </w:rPr>
      </w:pPr>
    </w:p>
    <w:p w14:paraId="62DE7BFE" w14:textId="30A22D2F" w:rsidR="00B3392A" w:rsidRDefault="00B3392A" w:rsidP="005345CD">
      <w:pPr>
        <w:rPr>
          <w:rFonts w:ascii="Calibri" w:eastAsia="Calibri" w:hAnsi="Calibri" w:cs="Calibri"/>
          <w:i/>
          <w:iCs/>
          <w:sz w:val="22"/>
          <w:szCs w:val="22"/>
        </w:rPr>
      </w:pPr>
      <w:r>
        <w:rPr>
          <w:rFonts w:ascii="Calibri" w:eastAsia="Calibri" w:hAnsi="Calibri" w:cs="Calibri"/>
          <w:i/>
          <w:iCs/>
          <w:sz w:val="22"/>
          <w:szCs w:val="22"/>
        </w:rPr>
        <w:t xml:space="preserve">Broaden Examples </w:t>
      </w:r>
      <w:r w:rsidR="00033B70">
        <w:rPr>
          <w:rFonts w:ascii="Calibri" w:eastAsia="Calibri" w:hAnsi="Calibri" w:cs="Calibri"/>
          <w:i/>
          <w:iCs/>
          <w:sz w:val="22"/>
          <w:szCs w:val="22"/>
        </w:rPr>
        <w:t>of Situations that May Cause</w:t>
      </w:r>
      <w:r>
        <w:rPr>
          <w:rFonts w:ascii="Calibri" w:eastAsia="Calibri" w:hAnsi="Calibri" w:cs="Calibri"/>
          <w:i/>
          <w:iCs/>
          <w:sz w:val="22"/>
          <w:szCs w:val="22"/>
        </w:rPr>
        <w:t xml:space="preserve"> Delays</w:t>
      </w:r>
    </w:p>
    <w:p w14:paraId="473CCAF8" w14:textId="3401157C" w:rsidR="00B3392A" w:rsidRPr="00F320B6" w:rsidRDefault="00B3392A" w:rsidP="00F320B6">
      <w:pPr>
        <w:spacing w:before="240"/>
        <w:rPr>
          <w:rFonts w:ascii="Calibri" w:eastAsia="Calibri" w:hAnsi="Calibri" w:cs="Calibri"/>
          <w:b/>
          <w:sz w:val="22"/>
          <w:szCs w:val="22"/>
        </w:rPr>
      </w:pPr>
      <w:r>
        <w:rPr>
          <w:rFonts w:ascii="Calibri" w:eastAsia="Calibri" w:hAnsi="Calibri" w:cs="Calibri"/>
          <w:sz w:val="22"/>
          <w:szCs w:val="22"/>
        </w:rPr>
        <w:t>There are other</w:t>
      </w:r>
      <w:r w:rsidRPr="00B3392A">
        <w:rPr>
          <w:rFonts w:ascii="Calibri" w:eastAsia="Calibri" w:hAnsi="Calibri" w:cs="Calibri"/>
          <w:sz w:val="22"/>
          <w:szCs w:val="22"/>
        </w:rPr>
        <w:t xml:space="preserve"> examples of why it is not reasonable to expect compliance within 60 days that </w:t>
      </w:r>
      <w:r>
        <w:rPr>
          <w:rFonts w:ascii="Calibri" w:eastAsia="Calibri" w:hAnsi="Calibri" w:cs="Calibri"/>
          <w:sz w:val="22"/>
          <w:szCs w:val="22"/>
        </w:rPr>
        <w:t xml:space="preserve">it would be worth considering. </w:t>
      </w:r>
      <w:r>
        <w:rPr>
          <w:rFonts w:ascii="Calibri" w:eastAsia="Calibri" w:hAnsi="Calibri" w:cs="Calibri"/>
          <w:b/>
          <w:bCs/>
          <w:sz w:val="22"/>
          <w:szCs w:val="22"/>
        </w:rPr>
        <w:t xml:space="preserve">CHA requests </w:t>
      </w:r>
      <w:r w:rsidR="00E861F1">
        <w:rPr>
          <w:rFonts w:ascii="Calibri" w:eastAsia="Calibri" w:hAnsi="Calibri" w:cs="Calibri"/>
          <w:b/>
          <w:bCs/>
          <w:sz w:val="22"/>
          <w:szCs w:val="22"/>
        </w:rPr>
        <w:t xml:space="preserve">the introductory language </w:t>
      </w:r>
      <w:r w:rsidR="00033B70">
        <w:rPr>
          <w:rFonts w:ascii="Calibri" w:eastAsia="Calibri" w:hAnsi="Calibri" w:cs="Calibri"/>
          <w:b/>
          <w:bCs/>
          <w:sz w:val="22"/>
          <w:szCs w:val="22"/>
        </w:rPr>
        <w:t>reference the myriad situations in which it would be unreasonable to expect compliance within 60 days, simply by stating</w:t>
      </w:r>
      <w:r w:rsidR="00454326">
        <w:rPr>
          <w:rFonts w:ascii="Calibri" w:eastAsia="Calibri" w:hAnsi="Calibri" w:cs="Calibri"/>
          <w:b/>
          <w:bCs/>
          <w:sz w:val="22"/>
          <w:szCs w:val="22"/>
        </w:rPr>
        <w:t xml:space="preserve"> on page 4, “</w:t>
      </w:r>
      <w:r w:rsidR="00454326" w:rsidRPr="00454326">
        <w:rPr>
          <w:rFonts w:ascii="Calibri" w:eastAsia="Calibri" w:hAnsi="Calibri" w:cs="Calibri"/>
          <w:b/>
          <w:bCs/>
          <w:sz w:val="22"/>
          <w:szCs w:val="22"/>
        </w:rPr>
        <w:t>Examples causing delays may include</w:t>
      </w:r>
      <w:r w:rsidR="00454326" w:rsidRPr="000C5B13">
        <w:rPr>
          <w:rFonts w:ascii="Calibri" w:eastAsia="Calibri" w:hAnsi="Calibri" w:cs="Calibri"/>
          <w:b/>
          <w:bCs/>
          <w:sz w:val="22"/>
          <w:szCs w:val="22"/>
          <w:u w:val="single"/>
        </w:rPr>
        <w:t xml:space="preserve">, </w:t>
      </w:r>
      <w:r w:rsidR="00E861F1" w:rsidRPr="000C5B13">
        <w:rPr>
          <w:rFonts w:ascii="Calibri" w:eastAsia="Calibri" w:hAnsi="Calibri" w:cs="Calibri"/>
          <w:b/>
          <w:bCs/>
          <w:sz w:val="22"/>
          <w:szCs w:val="22"/>
          <w:u w:val="single"/>
        </w:rPr>
        <w:t>but not be limited to</w:t>
      </w:r>
      <w:r w:rsidR="00033B70">
        <w:rPr>
          <w:rFonts w:ascii="Calibri" w:eastAsia="Calibri" w:hAnsi="Calibri" w:cs="Calibri"/>
          <w:b/>
          <w:bCs/>
          <w:sz w:val="22"/>
          <w:szCs w:val="22"/>
          <w:u w:val="single"/>
        </w:rPr>
        <w:t>.</w:t>
      </w:r>
      <w:r w:rsidR="00805578">
        <w:rPr>
          <w:rFonts w:ascii="Calibri" w:eastAsia="Calibri" w:hAnsi="Calibri" w:cs="Calibri"/>
          <w:b/>
          <w:bCs/>
          <w:sz w:val="22"/>
          <w:szCs w:val="22"/>
        </w:rPr>
        <w:t>”</w:t>
      </w:r>
      <w:r w:rsidR="00E861F1">
        <w:rPr>
          <w:rFonts w:ascii="Calibri" w:eastAsia="Calibri" w:hAnsi="Calibri" w:cs="Calibri"/>
          <w:b/>
          <w:bCs/>
          <w:sz w:val="22"/>
          <w:szCs w:val="22"/>
        </w:rPr>
        <w:t xml:space="preserve"> </w:t>
      </w:r>
      <w:r w:rsidR="00033B70">
        <w:rPr>
          <w:rFonts w:ascii="Calibri" w:eastAsia="Calibri" w:hAnsi="Calibri" w:cs="Calibri"/>
          <w:b/>
          <w:bCs/>
          <w:sz w:val="22"/>
          <w:szCs w:val="22"/>
        </w:rPr>
        <w:t>Further, we ask</w:t>
      </w:r>
      <w:r>
        <w:rPr>
          <w:rFonts w:ascii="Calibri" w:eastAsia="Calibri" w:hAnsi="Calibri" w:cs="Calibri"/>
          <w:b/>
          <w:bCs/>
          <w:sz w:val="22"/>
          <w:szCs w:val="22"/>
        </w:rPr>
        <w:t xml:space="preserve"> CMS</w:t>
      </w:r>
      <w:r w:rsidR="00033B70">
        <w:rPr>
          <w:rFonts w:ascii="Calibri" w:eastAsia="Calibri" w:hAnsi="Calibri" w:cs="Calibri"/>
          <w:b/>
          <w:bCs/>
          <w:sz w:val="22"/>
          <w:szCs w:val="22"/>
        </w:rPr>
        <w:t xml:space="preserve"> to</w:t>
      </w:r>
      <w:r w:rsidR="00E861F1">
        <w:rPr>
          <w:rFonts w:ascii="Calibri" w:eastAsia="Calibri" w:hAnsi="Calibri" w:cs="Calibri"/>
          <w:b/>
          <w:bCs/>
          <w:sz w:val="22"/>
          <w:szCs w:val="22"/>
        </w:rPr>
        <w:t xml:space="preserve"> </w:t>
      </w:r>
      <w:r>
        <w:rPr>
          <w:rFonts w:ascii="Calibri" w:eastAsia="Calibri" w:hAnsi="Calibri" w:cs="Calibri"/>
          <w:b/>
          <w:bCs/>
          <w:sz w:val="22"/>
          <w:szCs w:val="22"/>
        </w:rPr>
        <w:t xml:space="preserve">broaden the examples to account for </w:t>
      </w:r>
      <w:r w:rsidR="00033B70">
        <w:rPr>
          <w:rFonts w:ascii="Calibri" w:eastAsia="Calibri" w:hAnsi="Calibri" w:cs="Calibri"/>
          <w:b/>
          <w:bCs/>
          <w:sz w:val="22"/>
          <w:szCs w:val="22"/>
        </w:rPr>
        <w:t xml:space="preserve">differences </w:t>
      </w:r>
      <w:r>
        <w:rPr>
          <w:rFonts w:ascii="Calibri" w:eastAsia="Calibri" w:hAnsi="Calibri" w:cs="Calibri"/>
          <w:b/>
          <w:bCs/>
          <w:sz w:val="22"/>
          <w:szCs w:val="22"/>
        </w:rPr>
        <w:t xml:space="preserve">in state and local requirements </w:t>
      </w:r>
      <w:r w:rsidR="00033B70">
        <w:rPr>
          <w:rFonts w:ascii="Calibri" w:eastAsia="Calibri" w:hAnsi="Calibri" w:cs="Calibri"/>
          <w:b/>
          <w:bCs/>
          <w:sz w:val="22"/>
          <w:szCs w:val="22"/>
        </w:rPr>
        <w:t xml:space="preserve">related to </w:t>
      </w:r>
      <w:r>
        <w:rPr>
          <w:rFonts w:ascii="Calibri" w:eastAsia="Calibri" w:hAnsi="Calibri" w:cs="Calibri"/>
          <w:b/>
          <w:bCs/>
          <w:sz w:val="22"/>
          <w:szCs w:val="22"/>
        </w:rPr>
        <w:t xml:space="preserve">making physical changes to a hospital. </w:t>
      </w:r>
      <w:r>
        <w:rPr>
          <w:rFonts w:ascii="Calibri" w:eastAsia="Calibri" w:hAnsi="Calibri" w:cs="Calibri"/>
          <w:sz w:val="22"/>
          <w:szCs w:val="22"/>
        </w:rPr>
        <w:t>For example, not every physical change</w:t>
      </w:r>
      <w:r w:rsidRPr="00B3392A">
        <w:rPr>
          <w:rFonts w:ascii="Calibri" w:eastAsia="Calibri" w:hAnsi="Calibri" w:cs="Calibri"/>
          <w:sz w:val="22"/>
          <w:szCs w:val="22"/>
        </w:rPr>
        <w:t xml:space="preserve"> requires a “permit.” </w:t>
      </w:r>
      <w:r>
        <w:rPr>
          <w:rFonts w:ascii="Calibri" w:eastAsia="Calibri" w:hAnsi="Calibri" w:cs="Calibri"/>
          <w:sz w:val="22"/>
          <w:szCs w:val="22"/>
        </w:rPr>
        <w:t>That</w:t>
      </w:r>
      <w:r w:rsidR="00CD1CF3">
        <w:rPr>
          <w:rFonts w:ascii="Calibri" w:eastAsia="Calibri" w:hAnsi="Calibri" w:cs="Calibri"/>
          <w:sz w:val="22"/>
          <w:szCs w:val="22"/>
        </w:rPr>
        <w:t xml:space="preserve"> terminology</w:t>
      </w:r>
      <w:r>
        <w:rPr>
          <w:rFonts w:ascii="Calibri" w:eastAsia="Calibri" w:hAnsi="Calibri" w:cs="Calibri"/>
          <w:sz w:val="22"/>
          <w:szCs w:val="22"/>
        </w:rPr>
        <w:t xml:space="preserve"> s</w:t>
      </w:r>
      <w:r w:rsidRPr="00B3392A">
        <w:rPr>
          <w:rFonts w:ascii="Calibri" w:eastAsia="Calibri" w:hAnsi="Calibri" w:cs="Calibri"/>
          <w:sz w:val="22"/>
          <w:szCs w:val="22"/>
        </w:rPr>
        <w:t>uggest</w:t>
      </w:r>
      <w:r w:rsidR="00CD1CF3">
        <w:rPr>
          <w:rFonts w:ascii="Calibri" w:eastAsia="Calibri" w:hAnsi="Calibri" w:cs="Calibri"/>
          <w:sz w:val="22"/>
          <w:szCs w:val="22"/>
        </w:rPr>
        <w:t>s</w:t>
      </w:r>
      <w:r w:rsidRPr="00B3392A">
        <w:rPr>
          <w:rFonts w:ascii="Calibri" w:eastAsia="Calibri" w:hAnsi="Calibri" w:cs="Calibri"/>
          <w:sz w:val="22"/>
          <w:szCs w:val="22"/>
        </w:rPr>
        <w:t xml:space="preserve"> an actual building permit</w:t>
      </w:r>
      <w:r w:rsidR="00033B70">
        <w:rPr>
          <w:rFonts w:ascii="Calibri" w:eastAsia="Calibri" w:hAnsi="Calibri" w:cs="Calibri"/>
          <w:sz w:val="22"/>
          <w:szCs w:val="22"/>
        </w:rPr>
        <w:t xml:space="preserve"> — but</w:t>
      </w:r>
      <w:r w:rsidRPr="00B3392A">
        <w:rPr>
          <w:rFonts w:ascii="Calibri" w:eastAsia="Calibri" w:hAnsi="Calibri" w:cs="Calibri"/>
          <w:sz w:val="22"/>
          <w:szCs w:val="22"/>
        </w:rPr>
        <w:t xml:space="preserve"> in C</w:t>
      </w:r>
      <w:r>
        <w:rPr>
          <w:rFonts w:ascii="Calibri" w:eastAsia="Calibri" w:hAnsi="Calibri" w:cs="Calibri"/>
          <w:sz w:val="22"/>
          <w:szCs w:val="22"/>
        </w:rPr>
        <w:t>alifornia,</w:t>
      </w:r>
      <w:r w:rsidRPr="00B3392A">
        <w:rPr>
          <w:rFonts w:ascii="Calibri" w:eastAsia="Calibri" w:hAnsi="Calibri" w:cs="Calibri"/>
          <w:sz w:val="22"/>
          <w:szCs w:val="22"/>
        </w:rPr>
        <w:t xml:space="preserve"> other approvals of physical changes </w:t>
      </w:r>
      <w:r w:rsidR="00510B7D">
        <w:rPr>
          <w:rFonts w:ascii="Calibri" w:eastAsia="Calibri" w:hAnsi="Calibri" w:cs="Calibri"/>
          <w:sz w:val="22"/>
          <w:szCs w:val="22"/>
        </w:rPr>
        <w:t>(</w:t>
      </w:r>
      <w:r w:rsidR="00033B70">
        <w:rPr>
          <w:rFonts w:ascii="Calibri" w:eastAsia="Calibri" w:hAnsi="Calibri" w:cs="Calibri"/>
          <w:sz w:val="22"/>
          <w:szCs w:val="22"/>
        </w:rPr>
        <w:t xml:space="preserve">such as local </w:t>
      </w:r>
      <w:r w:rsidR="00033B70">
        <w:rPr>
          <w:rFonts w:ascii="Calibri" w:eastAsia="Calibri" w:hAnsi="Calibri" w:cs="Calibri"/>
          <w:sz w:val="22"/>
          <w:szCs w:val="22"/>
        </w:rPr>
        <w:lastRenderedPageBreak/>
        <w:t>fire clearance and</w:t>
      </w:r>
      <w:r w:rsidR="00510B7D">
        <w:rPr>
          <w:rFonts w:ascii="Calibri" w:eastAsia="Calibri" w:hAnsi="Calibri" w:cs="Calibri"/>
          <w:sz w:val="22"/>
          <w:szCs w:val="22"/>
        </w:rPr>
        <w:t xml:space="preserve"> state seismic safety approvals) </w:t>
      </w:r>
      <w:r w:rsidRPr="00B3392A">
        <w:rPr>
          <w:rFonts w:ascii="Calibri" w:eastAsia="Calibri" w:hAnsi="Calibri" w:cs="Calibri"/>
          <w:sz w:val="22"/>
          <w:szCs w:val="22"/>
        </w:rPr>
        <w:t>may be</w:t>
      </w:r>
      <w:r w:rsidR="00CD1CF3">
        <w:rPr>
          <w:rFonts w:ascii="Calibri" w:eastAsia="Calibri" w:hAnsi="Calibri" w:cs="Calibri"/>
          <w:sz w:val="22"/>
          <w:szCs w:val="22"/>
        </w:rPr>
        <w:t xml:space="preserve"> required</w:t>
      </w:r>
      <w:r w:rsidRPr="00B3392A">
        <w:rPr>
          <w:rFonts w:ascii="Calibri" w:eastAsia="Calibri" w:hAnsi="Calibri" w:cs="Calibri"/>
          <w:sz w:val="22"/>
          <w:szCs w:val="22"/>
        </w:rPr>
        <w:t xml:space="preserve"> in addition to a local building “permit</w:t>
      </w:r>
      <w:r w:rsidR="00510B7D">
        <w:rPr>
          <w:rFonts w:ascii="Calibri" w:eastAsia="Calibri" w:hAnsi="Calibri" w:cs="Calibri"/>
          <w:sz w:val="22"/>
          <w:szCs w:val="22"/>
        </w:rPr>
        <w:t>.</w:t>
      </w:r>
      <w:r w:rsidRPr="00B3392A">
        <w:rPr>
          <w:rFonts w:ascii="Calibri" w:eastAsia="Calibri" w:hAnsi="Calibri" w:cs="Calibri"/>
          <w:sz w:val="22"/>
          <w:szCs w:val="22"/>
        </w:rPr>
        <w:t>”</w:t>
      </w:r>
      <w:r>
        <w:rPr>
          <w:rFonts w:ascii="Calibri" w:eastAsia="Calibri" w:hAnsi="Calibri" w:cs="Calibri"/>
          <w:sz w:val="22"/>
          <w:szCs w:val="22"/>
        </w:rPr>
        <w:t xml:space="preserve"> </w:t>
      </w:r>
      <w:r w:rsidR="00510B7D">
        <w:rPr>
          <w:rFonts w:ascii="Calibri" w:eastAsia="Calibri" w:hAnsi="Calibri" w:cs="Calibri"/>
          <w:sz w:val="22"/>
          <w:szCs w:val="22"/>
        </w:rPr>
        <w:t xml:space="preserve"> </w:t>
      </w:r>
      <w:r w:rsidRPr="008A7C01">
        <w:rPr>
          <w:rFonts w:ascii="Calibri" w:eastAsia="Calibri" w:hAnsi="Calibri" w:cs="Calibri"/>
          <w:b/>
          <w:sz w:val="22"/>
          <w:szCs w:val="22"/>
        </w:rPr>
        <w:t xml:space="preserve">The examples </w:t>
      </w:r>
      <w:r w:rsidR="00510B7D" w:rsidRPr="008A7C01">
        <w:rPr>
          <w:rFonts w:ascii="Calibri" w:eastAsia="Calibri" w:hAnsi="Calibri" w:cs="Calibri"/>
          <w:b/>
          <w:sz w:val="22"/>
          <w:szCs w:val="22"/>
        </w:rPr>
        <w:t xml:space="preserve">should </w:t>
      </w:r>
      <w:r w:rsidRPr="008A7C01">
        <w:rPr>
          <w:rFonts w:ascii="Calibri" w:eastAsia="Calibri" w:hAnsi="Calibri" w:cs="Calibri"/>
          <w:b/>
          <w:sz w:val="22"/>
          <w:szCs w:val="22"/>
        </w:rPr>
        <w:t xml:space="preserve">be broadened to instead read, “obtaining approval of the governing body, engaging in competitive bidding, </w:t>
      </w:r>
      <w:r w:rsidRPr="00F320B6">
        <w:rPr>
          <w:rFonts w:ascii="Calibri" w:eastAsia="Calibri" w:hAnsi="Calibri" w:cs="Calibri"/>
          <w:b/>
          <w:strike/>
          <w:sz w:val="22"/>
          <w:szCs w:val="22"/>
        </w:rPr>
        <w:t>applying for</w:t>
      </w:r>
      <w:r w:rsidRPr="00F320B6">
        <w:rPr>
          <w:rFonts w:ascii="Calibri" w:eastAsia="Calibri" w:hAnsi="Calibri" w:cs="Calibri"/>
          <w:b/>
          <w:sz w:val="22"/>
          <w:szCs w:val="22"/>
        </w:rPr>
        <w:t xml:space="preserve"> </w:t>
      </w:r>
      <w:r w:rsidRPr="00F320B6">
        <w:rPr>
          <w:rFonts w:ascii="Calibri" w:eastAsia="Calibri" w:hAnsi="Calibri" w:cs="Calibri"/>
          <w:b/>
          <w:sz w:val="22"/>
          <w:szCs w:val="22"/>
          <w:u w:val="single"/>
        </w:rPr>
        <w:t xml:space="preserve">securing </w:t>
      </w:r>
      <w:r w:rsidRPr="00F320B6">
        <w:rPr>
          <w:rFonts w:ascii="Calibri" w:eastAsia="Calibri" w:hAnsi="Calibri" w:cs="Calibri"/>
          <w:b/>
          <w:sz w:val="22"/>
          <w:szCs w:val="22"/>
        </w:rPr>
        <w:t xml:space="preserve">funding, obtaining </w:t>
      </w:r>
      <w:r w:rsidRPr="00F320B6">
        <w:rPr>
          <w:rFonts w:ascii="Calibri" w:eastAsia="Calibri" w:hAnsi="Calibri" w:cs="Calibri"/>
          <w:b/>
          <w:strike/>
          <w:sz w:val="22"/>
          <w:szCs w:val="22"/>
        </w:rPr>
        <w:t>permits</w:t>
      </w:r>
      <w:r w:rsidRPr="00F320B6">
        <w:rPr>
          <w:rFonts w:ascii="Calibri" w:eastAsia="Calibri" w:hAnsi="Calibri" w:cs="Calibri"/>
          <w:b/>
          <w:sz w:val="22"/>
          <w:szCs w:val="22"/>
          <w:u w:val="single"/>
        </w:rPr>
        <w:t xml:space="preserve"> approvals</w:t>
      </w:r>
      <w:r w:rsidRPr="00F320B6">
        <w:rPr>
          <w:rFonts w:ascii="Calibri" w:eastAsia="Calibri" w:hAnsi="Calibri" w:cs="Calibri"/>
          <w:b/>
          <w:sz w:val="22"/>
          <w:szCs w:val="22"/>
        </w:rPr>
        <w:t xml:space="preserve"> for physical changes, and lack of or delays in obtaining products and supplies needed for corrective actions.</w:t>
      </w:r>
      <w:r w:rsidR="008548E7" w:rsidRPr="00F320B6">
        <w:rPr>
          <w:rFonts w:ascii="Calibri" w:eastAsia="Calibri" w:hAnsi="Calibri" w:cs="Calibri"/>
          <w:b/>
          <w:sz w:val="22"/>
          <w:szCs w:val="22"/>
        </w:rPr>
        <w:t>”</w:t>
      </w:r>
    </w:p>
    <w:p w14:paraId="66FCFD7F" w14:textId="204EF9B6" w:rsidR="00EE19E7" w:rsidRDefault="00EE19E7" w:rsidP="005345CD">
      <w:pPr>
        <w:rPr>
          <w:rFonts w:ascii="Calibri" w:eastAsia="Calibri" w:hAnsi="Calibri" w:cs="Calibri"/>
          <w:sz w:val="22"/>
          <w:szCs w:val="22"/>
        </w:rPr>
      </w:pPr>
    </w:p>
    <w:p w14:paraId="10CE8620" w14:textId="67C55A0F" w:rsidR="00B3392A" w:rsidRPr="00B3392A" w:rsidRDefault="00510B7D" w:rsidP="005345CD">
      <w:pPr>
        <w:rPr>
          <w:rFonts w:ascii="Calibri" w:eastAsia="Calibri" w:hAnsi="Calibri" w:cs="Calibri"/>
          <w:i/>
          <w:iCs/>
          <w:sz w:val="22"/>
          <w:szCs w:val="22"/>
        </w:rPr>
      </w:pPr>
      <w:r>
        <w:rPr>
          <w:rFonts w:ascii="Calibri" w:eastAsia="Calibri" w:hAnsi="Calibri" w:cs="Calibri"/>
          <w:i/>
          <w:iCs/>
          <w:sz w:val="22"/>
          <w:szCs w:val="22"/>
        </w:rPr>
        <w:t xml:space="preserve">Clarify </w:t>
      </w:r>
      <w:r w:rsidR="00B3392A">
        <w:rPr>
          <w:rFonts w:ascii="Calibri" w:eastAsia="Calibri" w:hAnsi="Calibri" w:cs="Calibri"/>
          <w:i/>
          <w:iCs/>
          <w:sz w:val="22"/>
          <w:szCs w:val="22"/>
        </w:rPr>
        <w:t>SA or AO Accountability for Timelines</w:t>
      </w:r>
    </w:p>
    <w:p w14:paraId="47C72F61" w14:textId="7F3C1CA8" w:rsidR="00B3392A" w:rsidRDefault="00B3392A" w:rsidP="00B3392A">
      <w:pPr>
        <w:rPr>
          <w:rFonts w:ascii="Calibri" w:eastAsia="Calibri" w:hAnsi="Calibri" w:cs="Calibri"/>
          <w:sz w:val="22"/>
          <w:szCs w:val="22"/>
        </w:rPr>
      </w:pPr>
      <w:r w:rsidRPr="00B3392A">
        <w:rPr>
          <w:rFonts w:ascii="Calibri" w:eastAsia="Calibri" w:hAnsi="Calibri" w:cs="Calibri"/>
          <w:sz w:val="22"/>
          <w:szCs w:val="22"/>
        </w:rPr>
        <w:t>Hospitals must submit a LRER to the SA or AO “as soon as the hospital identifies that more than 60 days are needed.” The SA or AO has 10 business days to review</w:t>
      </w:r>
      <w:r w:rsidR="00CD1CF3">
        <w:rPr>
          <w:rFonts w:ascii="Calibri" w:eastAsia="Calibri" w:hAnsi="Calibri" w:cs="Calibri"/>
          <w:sz w:val="22"/>
          <w:szCs w:val="22"/>
        </w:rPr>
        <w:t xml:space="preserve"> </w:t>
      </w:r>
      <w:r w:rsidR="00510B7D">
        <w:rPr>
          <w:rFonts w:ascii="Calibri" w:eastAsia="Calibri" w:hAnsi="Calibri" w:cs="Calibri"/>
          <w:sz w:val="22"/>
          <w:szCs w:val="22"/>
        </w:rPr>
        <w:t>the request, which must then be received by</w:t>
      </w:r>
      <w:r w:rsidRPr="00B3392A">
        <w:rPr>
          <w:rFonts w:ascii="Calibri" w:eastAsia="Calibri" w:hAnsi="Calibri" w:cs="Calibri"/>
          <w:sz w:val="22"/>
          <w:szCs w:val="22"/>
        </w:rPr>
        <w:t xml:space="preserve"> </w:t>
      </w:r>
      <w:r w:rsidR="0025425B">
        <w:rPr>
          <w:rFonts w:ascii="Calibri" w:eastAsia="Calibri" w:hAnsi="Calibri" w:cs="Calibri"/>
          <w:sz w:val="22"/>
          <w:szCs w:val="22"/>
        </w:rPr>
        <w:t>RO</w:t>
      </w:r>
      <w:r w:rsidRPr="00B3392A">
        <w:rPr>
          <w:rFonts w:ascii="Calibri" w:eastAsia="Calibri" w:hAnsi="Calibri" w:cs="Calibri"/>
          <w:sz w:val="22"/>
          <w:szCs w:val="22"/>
        </w:rPr>
        <w:t>s prior to the 60th calendar day.</w:t>
      </w:r>
      <w:r w:rsidR="0025425B">
        <w:rPr>
          <w:rFonts w:ascii="Calibri" w:eastAsia="Calibri" w:hAnsi="Calibri" w:cs="Calibri"/>
          <w:sz w:val="22"/>
          <w:szCs w:val="22"/>
        </w:rPr>
        <w:t xml:space="preserve"> </w:t>
      </w:r>
      <w:r w:rsidR="0025425B" w:rsidRPr="0025425B">
        <w:rPr>
          <w:rFonts w:ascii="Calibri" w:eastAsia="Calibri" w:hAnsi="Calibri" w:cs="Calibri"/>
          <w:b/>
          <w:bCs/>
          <w:sz w:val="22"/>
          <w:szCs w:val="22"/>
        </w:rPr>
        <w:t>CHA appreciates the specific time</w:t>
      </w:r>
      <w:r w:rsidR="00510B7D">
        <w:rPr>
          <w:rFonts w:ascii="Calibri" w:eastAsia="Calibri" w:hAnsi="Calibri" w:cs="Calibri"/>
          <w:b/>
          <w:bCs/>
          <w:sz w:val="22"/>
          <w:szCs w:val="22"/>
        </w:rPr>
        <w:t xml:space="preserve"> </w:t>
      </w:r>
      <w:r w:rsidR="0025425B" w:rsidRPr="0025425B">
        <w:rPr>
          <w:rFonts w:ascii="Calibri" w:eastAsia="Calibri" w:hAnsi="Calibri" w:cs="Calibri"/>
          <w:b/>
          <w:bCs/>
          <w:sz w:val="22"/>
          <w:szCs w:val="22"/>
        </w:rPr>
        <w:t>frames, but seeks clarification on what happens if the SA or AO misses a timeline</w:t>
      </w:r>
      <w:r w:rsidR="0025425B">
        <w:rPr>
          <w:rFonts w:ascii="Calibri" w:eastAsia="Calibri" w:hAnsi="Calibri" w:cs="Calibri"/>
          <w:b/>
          <w:bCs/>
          <w:sz w:val="22"/>
          <w:szCs w:val="22"/>
        </w:rPr>
        <w:t xml:space="preserve"> and whether the clock for the hospital would stop, given that it had done its due diligence</w:t>
      </w:r>
      <w:r w:rsidR="0025425B" w:rsidRPr="0025425B">
        <w:rPr>
          <w:rFonts w:ascii="Calibri" w:eastAsia="Calibri" w:hAnsi="Calibri" w:cs="Calibri"/>
          <w:b/>
          <w:bCs/>
          <w:sz w:val="22"/>
          <w:szCs w:val="22"/>
        </w:rPr>
        <w:t>.</w:t>
      </w:r>
      <w:r w:rsidR="0025425B">
        <w:rPr>
          <w:rFonts w:ascii="Calibri" w:eastAsia="Calibri" w:hAnsi="Calibri" w:cs="Calibri"/>
          <w:sz w:val="22"/>
          <w:szCs w:val="22"/>
        </w:rPr>
        <w:t xml:space="preserve"> For instance, due to the outer deadline of 60 days, a hospital could submit the LRER as soon as it finds out it cannot comply with the 60-day time</w:t>
      </w:r>
      <w:r w:rsidR="00510B7D">
        <w:rPr>
          <w:rFonts w:ascii="Calibri" w:eastAsia="Calibri" w:hAnsi="Calibri" w:cs="Calibri"/>
          <w:sz w:val="22"/>
          <w:szCs w:val="22"/>
        </w:rPr>
        <w:t xml:space="preserve"> </w:t>
      </w:r>
      <w:r w:rsidR="0025425B">
        <w:rPr>
          <w:rFonts w:ascii="Calibri" w:eastAsia="Calibri" w:hAnsi="Calibri" w:cs="Calibri"/>
          <w:sz w:val="22"/>
          <w:szCs w:val="22"/>
        </w:rPr>
        <w:t>frame but</w:t>
      </w:r>
      <w:r w:rsidR="00510B7D">
        <w:rPr>
          <w:rFonts w:ascii="Calibri" w:eastAsia="Calibri" w:hAnsi="Calibri" w:cs="Calibri"/>
          <w:sz w:val="22"/>
          <w:szCs w:val="22"/>
        </w:rPr>
        <w:t>,</w:t>
      </w:r>
      <w:r w:rsidR="0025425B">
        <w:rPr>
          <w:rFonts w:ascii="Calibri" w:eastAsia="Calibri" w:hAnsi="Calibri" w:cs="Calibri"/>
          <w:sz w:val="22"/>
          <w:szCs w:val="22"/>
        </w:rPr>
        <w:t xml:space="preserve"> due to a delay with the SA or AO, miss the LRER going to the RO within 60 days. </w:t>
      </w:r>
    </w:p>
    <w:p w14:paraId="76F8D6FD" w14:textId="435C9455" w:rsidR="0025425B" w:rsidRDefault="0025425B" w:rsidP="00B3392A">
      <w:pPr>
        <w:rPr>
          <w:rFonts w:ascii="Calibri" w:eastAsia="Calibri" w:hAnsi="Calibri" w:cs="Calibri"/>
          <w:sz w:val="22"/>
          <w:szCs w:val="22"/>
        </w:rPr>
      </w:pPr>
    </w:p>
    <w:p w14:paraId="51B3546C" w14:textId="4CA2CE94" w:rsidR="0025425B" w:rsidRPr="0025425B" w:rsidRDefault="0025425B" w:rsidP="00B3392A">
      <w:pPr>
        <w:rPr>
          <w:rFonts w:ascii="Calibri" w:eastAsia="Calibri" w:hAnsi="Calibri" w:cs="Calibri"/>
          <w:i/>
          <w:iCs/>
          <w:sz w:val="22"/>
          <w:szCs w:val="22"/>
        </w:rPr>
      </w:pPr>
      <w:r>
        <w:rPr>
          <w:rFonts w:ascii="Calibri" w:eastAsia="Calibri" w:hAnsi="Calibri" w:cs="Calibri"/>
          <w:sz w:val="22"/>
          <w:szCs w:val="22"/>
        </w:rPr>
        <w:t xml:space="preserve">Similarly, </w:t>
      </w:r>
      <w:r w:rsidR="00510B7D">
        <w:rPr>
          <w:rFonts w:ascii="Calibri" w:eastAsia="Calibri" w:hAnsi="Calibri" w:cs="Calibri"/>
          <w:sz w:val="22"/>
          <w:szCs w:val="22"/>
        </w:rPr>
        <w:t xml:space="preserve">the guidance states that, </w:t>
      </w:r>
      <w:r>
        <w:rPr>
          <w:rFonts w:ascii="Calibri" w:eastAsia="Calibri" w:hAnsi="Calibri" w:cs="Calibri"/>
          <w:sz w:val="22"/>
          <w:szCs w:val="22"/>
        </w:rPr>
        <w:t xml:space="preserve">once corrective actions are completed, the SA is to conduct an </w:t>
      </w:r>
      <w:r w:rsidRPr="0025425B">
        <w:rPr>
          <w:rFonts w:ascii="Calibri" w:eastAsia="Calibri" w:hAnsi="Calibri" w:cs="Calibri"/>
          <w:sz w:val="22"/>
          <w:szCs w:val="22"/>
        </w:rPr>
        <w:t>unannounced focused survey within 30 business days</w:t>
      </w:r>
      <w:r>
        <w:rPr>
          <w:rFonts w:ascii="Calibri" w:eastAsia="Calibri" w:hAnsi="Calibri" w:cs="Calibri"/>
          <w:sz w:val="22"/>
          <w:szCs w:val="22"/>
        </w:rPr>
        <w:t xml:space="preserve">. </w:t>
      </w:r>
      <w:r>
        <w:rPr>
          <w:rFonts w:ascii="Calibri" w:eastAsia="Calibri" w:hAnsi="Calibri" w:cs="Calibri"/>
          <w:b/>
          <w:bCs/>
          <w:sz w:val="22"/>
          <w:szCs w:val="22"/>
        </w:rPr>
        <w:t>CHA seeks clarification on the status of a hospital if the SA does not meet that time</w:t>
      </w:r>
      <w:r w:rsidR="00510B7D">
        <w:rPr>
          <w:rFonts w:ascii="Calibri" w:eastAsia="Calibri" w:hAnsi="Calibri" w:cs="Calibri"/>
          <w:b/>
          <w:bCs/>
          <w:sz w:val="22"/>
          <w:szCs w:val="22"/>
        </w:rPr>
        <w:t xml:space="preserve"> </w:t>
      </w:r>
      <w:r>
        <w:rPr>
          <w:rFonts w:ascii="Calibri" w:eastAsia="Calibri" w:hAnsi="Calibri" w:cs="Calibri"/>
          <w:b/>
          <w:bCs/>
          <w:sz w:val="22"/>
          <w:szCs w:val="22"/>
        </w:rPr>
        <w:t>frame.</w:t>
      </w:r>
      <w:r>
        <w:rPr>
          <w:rFonts w:ascii="Calibri" w:eastAsia="Calibri" w:hAnsi="Calibri" w:cs="Calibri"/>
          <w:sz w:val="22"/>
          <w:szCs w:val="22"/>
        </w:rPr>
        <w:t xml:space="preserve"> In that case, the hospital would have remedied the issue</w:t>
      </w:r>
      <w:r w:rsidR="00510B7D">
        <w:rPr>
          <w:rFonts w:ascii="Calibri" w:eastAsia="Calibri" w:hAnsi="Calibri" w:cs="Calibri"/>
          <w:sz w:val="22"/>
          <w:szCs w:val="22"/>
        </w:rPr>
        <w:t>(</w:t>
      </w:r>
      <w:r>
        <w:rPr>
          <w:rFonts w:ascii="Calibri" w:eastAsia="Calibri" w:hAnsi="Calibri" w:cs="Calibri"/>
          <w:sz w:val="22"/>
          <w:szCs w:val="22"/>
        </w:rPr>
        <w:t>s</w:t>
      </w:r>
      <w:r w:rsidR="00510B7D">
        <w:rPr>
          <w:rFonts w:ascii="Calibri" w:eastAsia="Calibri" w:hAnsi="Calibri" w:cs="Calibri"/>
          <w:sz w:val="22"/>
          <w:szCs w:val="22"/>
        </w:rPr>
        <w:t>)</w:t>
      </w:r>
      <w:r>
        <w:rPr>
          <w:rFonts w:ascii="Calibri" w:eastAsia="Calibri" w:hAnsi="Calibri" w:cs="Calibri"/>
          <w:sz w:val="22"/>
          <w:szCs w:val="22"/>
        </w:rPr>
        <w:t xml:space="preserve">, but </w:t>
      </w:r>
      <w:r w:rsidR="00510B7D">
        <w:rPr>
          <w:rFonts w:ascii="Calibri" w:eastAsia="Calibri" w:hAnsi="Calibri" w:cs="Calibri"/>
          <w:sz w:val="22"/>
          <w:szCs w:val="22"/>
        </w:rPr>
        <w:t xml:space="preserve">would </w:t>
      </w:r>
      <w:r>
        <w:rPr>
          <w:rFonts w:ascii="Calibri" w:eastAsia="Calibri" w:hAnsi="Calibri" w:cs="Calibri"/>
          <w:sz w:val="22"/>
          <w:szCs w:val="22"/>
        </w:rPr>
        <w:t xml:space="preserve">lack certainty over its status due to inaction </w:t>
      </w:r>
      <w:r w:rsidR="00510B7D">
        <w:rPr>
          <w:rFonts w:ascii="Calibri" w:eastAsia="Calibri" w:hAnsi="Calibri" w:cs="Calibri"/>
          <w:sz w:val="22"/>
          <w:szCs w:val="22"/>
        </w:rPr>
        <w:t xml:space="preserve">out of its </w:t>
      </w:r>
      <w:r>
        <w:rPr>
          <w:rFonts w:ascii="Calibri" w:eastAsia="Calibri" w:hAnsi="Calibri" w:cs="Calibri"/>
          <w:sz w:val="22"/>
          <w:szCs w:val="22"/>
        </w:rPr>
        <w:t>control.</w:t>
      </w:r>
    </w:p>
    <w:p w14:paraId="7C7AB0BA" w14:textId="6DEE4297" w:rsidR="00B3392A" w:rsidRDefault="00B3392A" w:rsidP="00B3392A">
      <w:pPr>
        <w:rPr>
          <w:rFonts w:ascii="Calibri" w:eastAsia="Calibri" w:hAnsi="Calibri" w:cs="Calibri"/>
          <w:sz w:val="22"/>
          <w:szCs w:val="22"/>
        </w:rPr>
      </w:pPr>
    </w:p>
    <w:p w14:paraId="687D8E78" w14:textId="7AB2E3A0" w:rsidR="0025425B" w:rsidRDefault="00E94FBF" w:rsidP="00B3392A">
      <w:pPr>
        <w:rPr>
          <w:rFonts w:ascii="Calibri" w:eastAsia="Calibri" w:hAnsi="Calibri" w:cs="Calibri"/>
          <w:i/>
          <w:iCs/>
          <w:sz w:val="22"/>
          <w:szCs w:val="22"/>
        </w:rPr>
      </w:pPr>
      <w:r>
        <w:rPr>
          <w:rFonts w:ascii="Calibri" w:eastAsia="Calibri" w:hAnsi="Calibri" w:cs="Calibri"/>
          <w:i/>
          <w:iCs/>
          <w:sz w:val="22"/>
          <w:szCs w:val="22"/>
        </w:rPr>
        <w:t xml:space="preserve">Define </w:t>
      </w:r>
      <w:r w:rsidR="0025425B">
        <w:rPr>
          <w:rFonts w:ascii="Calibri" w:eastAsia="Calibri" w:hAnsi="Calibri" w:cs="Calibri"/>
          <w:i/>
          <w:iCs/>
          <w:sz w:val="22"/>
          <w:szCs w:val="22"/>
        </w:rPr>
        <w:t>Criteria for Granting or Denying LRERs</w:t>
      </w:r>
    </w:p>
    <w:p w14:paraId="416DCFC7" w14:textId="0925AC01" w:rsidR="0025425B" w:rsidRPr="0025425B" w:rsidRDefault="0025425B" w:rsidP="0025425B">
      <w:pPr>
        <w:rPr>
          <w:rFonts w:ascii="Calibri" w:eastAsia="Calibri" w:hAnsi="Calibri" w:cs="Calibri"/>
          <w:b/>
          <w:bCs/>
          <w:sz w:val="22"/>
          <w:szCs w:val="22"/>
        </w:rPr>
      </w:pPr>
      <w:r>
        <w:rPr>
          <w:rFonts w:ascii="Calibri" w:eastAsia="Calibri" w:hAnsi="Calibri" w:cs="Calibri"/>
          <w:sz w:val="22"/>
          <w:szCs w:val="22"/>
        </w:rPr>
        <w:t>The SA</w:t>
      </w:r>
      <w:r w:rsidR="00E94FBF">
        <w:rPr>
          <w:rFonts w:ascii="Calibri" w:eastAsia="Calibri" w:hAnsi="Calibri" w:cs="Calibri"/>
          <w:sz w:val="22"/>
          <w:szCs w:val="22"/>
        </w:rPr>
        <w:t>,</w:t>
      </w:r>
      <w:r>
        <w:rPr>
          <w:rFonts w:ascii="Calibri" w:eastAsia="Calibri" w:hAnsi="Calibri" w:cs="Calibri"/>
          <w:sz w:val="22"/>
          <w:szCs w:val="22"/>
        </w:rPr>
        <w:t xml:space="preserve"> AO, </w:t>
      </w:r>
      <w:r w:rsidR="00E94FBF">
        <w:rPr>
          <w:rFonts w:ascii="Calibri" w:eastAsia="Calibri" w:hAnsi="Calibri" w:cs="Calibri"/>
          <w:sz w:val="22"/>
          <w:szCs w:val="22"/>
        </w:rPr>
        <w:t xml:space="preserve"> or</w:t>
      </w:r>
      <w:r>
        <w:rPr>
          <w:rFonts w:ascii="Calibri" w:eastAsia="Calibri" w:hAnsi="Calibri" w:cs="Calibri"/>
          <w:sz w:val="22"/>
          <w:szCs w:val="22"/>
        </w:rPr>
        <w:t xml:space="preserve"> R</w:t>
      </w:r>
      <w:r w:rsidR="00E94FBF">
        <w:rPr>
          <w:rFonts w:ascii="Calibri" w:eastAsia="Calibri" w:hAnsi="Calibri" w:cs="Calibri"/>
          <w:sz w:val="22"/>
          <w:szCs w:val="22"/>
        </w:rPr>
        <w:t>O</w:t>
      </w:r>
      <w:r>
        <w:rPr>
          <w:rFonts w:ascii="Calibri" w:eastAsia="Calibri" w:hAnsi="Calibri" w:cs="Calibri"/>
          <w:sz w:val="22"/>
          <w:szCs w:val="22"/>
        </w:rPr>
        <w:t xml:space="preserve"> would determine whether to grant or deny a LRER. </w:t>
      </w:r>
      <w:r w:rsidRPr="0025425B">
        <w:rPr>
          <w:rFonts w:ascii="Calibri" w:eastAsia="Calibri" w:hAnsi="Calibri" w:cs="Calibri"/>
          <w:b/>
          <w:bCs/>
          <w:sz w:val="22"/>
          <w:szCs w:val="22"/>
        </w:rPr>
        <w:t xml:space="preserve">CHA </w:t>
      </w:r>
      <w:r w:rsidR="00E861F1">
        <w:rPr>
          <w:rFonts w:ascii="Calibri" w:eastAsia="Calibri" w:hAnsi="Calibri" w:cs="Calibri"/>
          <w:b/>
          <w:bCs/>
          <w:sz w:val="22"/>
          <w:szCs w:val="22"/>
        </w:rPr>
        <w:t xml:space="preserve">urges CMS to note any explicit </w:t>
      </w:r>
      <w:r w:rsidRPr="0025425B">
        <w:rPr>
          <w:rFonts w:ascii="Calibri" w:eastAsia="Calibri" w:hAnsi="Calibri" w:cs="Calibri"/>
          <w:b/>
          <w:bCs/>
          <w:sz w:val="22"/>
          <w:szCs w:val="22"/>
        </w:rPr>
        <w:t>criteria</w:t>
      </w:r>
      <w:r w:rsidR="00E861F1">
        <w:rPr>
          <w:rFonts w:ascii="Calibri" w:eastAsia="Calibri" w:hAnsi="Calibri" w:cs="Calibri"/>
          <w:b/>
          <w:bCs/>
          <w:sz w:val="22"/>
          <w:szCs w:val="22"/>
        </w:rPr>
        <w:t xml:space="preserve"> for</w:t>
      </w:r>
      <w:r w:rsidRPr="0025425B">
        <w:rPr>
          <w:rFonts w:ascii="Calibri" w:eastAsia="Calibri" w:hAnsi="Calibri" w:cs="Calibri"/>
          <w:b/>
          <w:bCs/>
          <w:sz w:val="22"/>
          <w:szCs w:val="22"/>
        </w:rPr>
        <w:t xml:space="preserve"> granting or denying the extension, and what the oversight will be to ensure that the interpretation is consistent across regions. </w:t>
      </w:r>
      <w:r w:rsidR="00E94FBF">
        <w:rPr>
          <w:rFonts w:ascii="Calibri" w:eastAsia="Calibri" w:hAnsi="Calibri" w:cs="Calibri"/>
          <w:b/>
          <w:bCs/>
          <w:sz w:val="22"/>
          <w:szCs w:val="22"/>
        </w:rPr>
        <w:t>W</w:t>
      </w:r>
      <w:r w:rsidR="00E861F1">
        <w:rPr>
          <w:rFonts w:ascii="Calibri" w:eastAsia="Calibri" w:hAnsi="Calibri" w:cs="Calibri"/>
          <w:b/>
          <w:bCs/>
          <w:sz w:val="22"/>
          <w:szCs w:val="22"/>
        </w:rPr>
        <w:t xml:space="preserve">e </w:t>
      </w:r>
      <w:r w:rsidR="00E94FBF">
        <w:rPr>
          <w:rFonts w:ascii="Calibri" w:eastAsia="Calibri" w:hAnsi="Calibri" w:cs="Calibri"/>
          <w:b/>
          <w:bCs/>
          <w:sz w:val="22"/>
          <w:szCs w:val="22"/>
        </w:rPr>
        <w:t xml:space="preserve">also </w:t>
      </w:r>
      <w:r w:rsidR="00E861F1">
        <w:rPr>
          <w:rFonts w:ascii="Calibri" w:eastAsia="Calibri" w:hAnsi="Calibri" w:cs="Calibri"/>
          <w:b/>
          <w:bCs/>
          <w:sz w:val="22"/>
          <w:szCs w:val="22"/>
        </w:rPr>
        <w:t>ask that CMS outline a process for appeal or reconsideration</w:t>
      </w:r>
      <w:r w:rsidR="00E94FBF">
        <w:rPr>
          <w:rFonts w:ascii="Calibri" w:eastAsia="Calibri" w:hAnsi="Calibri" w:cs="Calibri"/>
          <w:b/>
          <w:bCs/>
          <w:sz w:val="22"/>
          <w:szCs w:val="22"/>
        </w:rPr>
        <w:t xml:space="preserve"> in the event an LRER is denied</w:t>
      </w:r>
      <w:r w:rsidR="00E861F1">
        <w:rPr>
          <w:rFonts w:ascii="Calibri" w:eastAsia="Calibri" w:hAnsi="Calibri" w:cs="Calibri"/>
          <w:b/>
          <w:bCs/>
          <w:sz w:val="22"/>
          <w:szCs w:val="22"/>
        </w:rPr>
        <w:t xml:space="preserve">. </w:t>
      </w:r>
      <w:r w:rsidR="00E861F1" w:rsidRPr="00F320B6">
        <w:rPr>
          <w:rFonts w:ascii="Calibri" w:eastAsia="Calibri" w:hAnsi="Calibri" w:cs="Calibri"/>
          <w:bCs/>
          <w:sz w:val="22"/>
          <w:szCs w:val="22"/>
        </w:rPr>
        <w:t>A clear and transparent process promotes accountability and still allows for flexibility on a case</w:t>
      </w:r>
      <w:r w:rsidR="00454326" w:rsidRPr="00F320B6">
        <w:rPr>
          <w:rFonts w:ascii="Calibri" w:eastAsia="Calibri" w:hAnsi="Calibri" w:cs="Calibri"/>
          <w:bCs/>
          <w:sz w:val="22"/>
          <w:szCs w:val="22"/>
        </w:rPr>
        <w:t>-</w:t>
      </w:r>
      <w:r w:rsidR="00E861F1" w:rsidRPr="00F320B6">
        <w:rPr>
          <w:rFonts w:ascii="Calibri" w:eastAsia="Calibri" w:hAnsi="Calibri" w:cs="Calibri"/>
          <w:bCs/>
          <w:sz w:val="22"/>
          <w:szCs w:val="22"/>
        </w:rPr>
        <w:t>by</w:t>
      </w:r>
      <w:r w:rsidR="00454326" w:rsidRPr="00F320B6">
        <w:rPr>
          <w:rFonts w:ascii="Calibri" w:eastAsia="Calibri" w:hAnsi="Calibri" w:cs="Calibri"/>
          <w:bCs/>
          <w:sz w:val="22"/>
          <w:szCs w:val="22"/>
        </w:rPr>
        <w:t>-</w:t>
      </w:r>
      <w:r w:rsidR="00E861F1" w:rsidRPr="00F320B6">
        <w:rPr>
          <w:rFonts w:ascii="Calibri" w:eastAsia="Calibri" w:hAnsi="Calibri" w:cs="Calibri"/>
          <w:bCs/>
          <w:sz w:val="22"/>
          <w:szCs w:val="22"/>
        </w:rPr>
        <w:t xml:space="preserve">case basis. </w:t>
      </w:r>
    </w:p>
    <w:p w14:paraId="5003D3E5" w14:textId="77777777" w:rsidR="003B26A4" w:rsidRDefault="003B26A4" w:rsidP="005345CD">
      <w:pPr>
        <w:rPr>
          <w:rFonts w:ascii="Calibri" w:eastAsia="Calibri" w:hAnsi="Calibri" w:cs="Calibri"/>
          <w:sz w:val="22"/>
          <w:szCs w:val="22"/>
        </w:rPr>
      </w:pPr>
    </w:p>
    <w:p w14:paraId="190F31F3" w14:textId="31E2317C" w:rsidR="00902FEA" w:rsidRPr="00902FEA" w:rsidRDefault="003B26A4" w:rsidP="005345CD">
      <w:pPr>
        <w:rPr>
          <w:rFonts w:ascii="Calibri" w:eastAsia="Calibri" w:hAnsi="Calibri" w:cs="Calibri"/>
          <w:sz w:val="22"/>
          <w:szCs w:val="22"/>
        </w:rPr>
      </w:pPr>
      <w:r>
        <w:rPr>
          <w:rFonts w:ascii="Calibri" w:eastAsia="Calibri" w:hAnsi="Calibri" w:cs="Calibri"/>
          <w:sz w:val="22"/>
          <w:szCs w:val="22"/>
        </w:rPr>
        <w:t>CHA appreciates that CMS is revisiting its 2017 guidance</w:t>
      </w:r>
      <w:r w:rsidR="004F48DB">
        <w:rPr>
          <w:rFonts w:ascii="Calibri" w:eastAsia="Calibri" w:hAnsi="Calibri" w:cs="Calibri"/>
          <w:sz w:val="22"/>
          <w:szCs w:val="22"/>
        </w:rPr>
        <w:t>, providing additional clarity</w:t>
      </w:r>
      <w:r w:rsidR="00E94FBF">
        <w:rPr>
          <w:rFonts w:ascii="Calibri" w:eastAsia="Calibri" w:hAnsi="Calibri" w:cs="Calibri"/>
          <w:sz w:val="22"/>
          <w:szCs w:val="22"/>
        </w:rPr>
        <w:t>,</w:t>
      </w:r>
      <w:r w:rsidR="004F48DB">
        <w:rPr>
          <w:rFonts w:ascii="Calibri" w:eastAsia="Calibri" w:hAnsi="Calibri" w:cs="Calibri"/>
          <w:sz w:val="22"/>
          <w:szCs w:val="22"/>
        </w:rPr>
        <w:t xml:space="preserve"> </w:t>
      </w:r>
      <w:r>
        <w:rPr>
          <w:rFonts w:ascii="Calibri" w:eastAsia="Calibri" w:hAnsi="Calibri" w:cs="Calibri"/>
          <w:sz w:val="22"/>
          <w:szCs w:val="22"/>
        </w:rPr>
        <w:t xml:space="preserve">and establishing a process </w:t>
      </w:r>
      <w:r w:rsidR="00E861F1">
        <w:rPr>
          <w:rFonts w:ascii="Calibri" w:eastAsia="Calibri" w:hAnsi="Calibri" w:cs="Calibri"/>
          <w:sz w:val="22"/>
          <w:szCs w:val="22"/>
        </w:rPr>
        <w:t xml:space="preserve">to </w:t>
      </w:r>
      <w:r w:rsidR="004F48DB">
        <w:rPr>
          <w:rFonts w:ascii="Calibri" w:eastAsia="Calibri" w:hAnsi="Calibri" w:cs="Calibri"/>
          <w:sz w:val="22"/>
          <w:szCs w:val="22"/>
        </w:rPr>
        <w:t xml:space="preserve">allow hospitals appropriate time to </w:t>
      </w:r>
      <w:r>
        <w:rPr>
          <w:rFonts w:ascii="Calibri" w:eastAsia="Calibri" w:hAnsi="Calibri" w:cs="Calibri"/>
          <w:sz w:val="22"/>
          <w:szCs w:val="22"/>
        </w:rPr>
        <w:t xml:space="preserve">take steps to </w:t>
      </w:r>
      <w:r w:rsidR="00E861F1">
        <w:rPr>
          <w:rFonts w:ascii="Calibri" w:eastAsia="Calibri" w:hAnsi="Calibri" w:cs="Calibri"/>
          <w:sz w:val="22"/>
          <w:szCs w:val="22"/>
        </w:rPr>
        <w:t>remediate any identified issues</w:t>
      </w:r>
      <w:r>
        <w:rPr>
          <w:rFonts w:ascii="Calibri" w:eastAsia="Calibri" w:hAnsi="Calibri" w:cs="Calibri"/>
          <w:sz w:val="22"/>
          <w:szCs w:val="22"/>
        </w:rPr>
        <w:t xml:space="preserve">. </w:t>
      </w:r>
      <w:r w:rsidR="00A716C1" w:rsidRPr="00A716C1">
        <w:rPr>
          <w:rFonts w:ascii="Calibri" w:eastAsia="Calibri" w:hAnsi="Calibri" w:cs="Calibri"/>
          <w:sz w:val="22"/>
          <w:szCs w:val="22"/>
        </w:rPr>
        <w:t>If you have any questions,</w:t>
      </w:r>
      <w:r w:rsidR="002073C0">
        <w:rPr>
          <w:rFonts w:ascii="Calibri" w:eastAsia="Calibri" w:hAnsi="Calibri" w:cs="Calibri"/>
          <w:sz w:val="22"/>
          <w:szCs w:val="22"/>
        </w:rPr>
        <w:t xml:space="preserve"> </w:t>
      </w:r>
      <w:r w:rsidR="00A716C1" w:rsidRPr="00A716C1">
        <w:rPr>
          <w:rFonts w:ascii="Calibri" w:eastAsia="Calibri" w:hAnsi="Calibri" w:cs="Calibri"/>
          <w:sz w:val="22"/>
          <w:szCs w:val="22"/>
        </w:rPr>
        <w:t xml:space="preserve">please do not hesitate to contact me at </w:t>
      </w:r>
      <w:hyperlink r:id="rId16" w:history="1">
        <w:r w:rsidR="00A716C1" w:rsidRPr="004E201B">
          <w:rPr>
            <w:rStyle w:val="Hyperlink"/>
            <w:rFonts w:ascii="Calibri" w:eastAsia="Calibri" w:hAnsi="Calibri" w:cs="Calibri"/>
            <w:sz w:val="22"/>
            <w:szCs w:val="22"/>
          </w:rPr>
          <w:t>akeefe@calhospital.org</w:t>
        </w:r>
      </w:hyperlink>
      <w:r w:rsidR="00A716C1">
        <w:rPr>
          <w:rFonts w:ascii="Calibri" w:eastAsia="Calibri" w:hAnsi="Calibri" w:cs="Calibri"/>
          <w:sz w:val="22"/>
          <w:szCs w:val="22"/>
        </w:rPr>
        <w:t xml:space="preserve"> </w:t>
      </w:r>
      <w:r w:rsidR="00A716C1" w:rsidRPr="00A716C1">
        <w:rPr>
          <w:rFonts w:ascii="Calibri" w:eastAsia="Calibri" w:hAnsi="Calibri" w:cs="Calibri"/>
          <w:sz w:val="22"/>
          <w:szCs w:val="22"/>
        </w:rPr>
        <w:t>or (202) 488-4688</w:t>
      </w:r>
      <w:r w:rsidR="00E94FBF">
        <w:rPr>
          <w:rFonts w:ascii="Calibri" w:eastAsia="Calibri" w:hAnsi="Calibri" w:cs="Calibri"/>
          <w:sz w:val="22"/>
          <w:szCs w:val="22"/>
        </w:rPr>
        <w:t>,</w:t>
      </w:r>
      <w:r w:rsidR="00A716C1" w:rsidRPr="00A716C1">
        <w:rPr>
          <w:rFonts w:ascii="Calibri" w:eastAsia="Calibri" w:hAnsi="Calibri" w:cs="Calibri"/>
          <w:sz w:val="22"/>
          <w:szCs w:val="22"/>
        </w:rPr>
        <w:t xml:space="preserve"> </w:t>
      </w:r>
      <w:r w:rsidR="000C5B13">
        <w:rPr>
          <w:rFonts w:ascii="Calibri" w:eastAsia="Calibri" w:hAnsi="Calibri" w:cs="Calibri"/>
          <w:sz w:val="22"/>
          <w:szCs w:val="22"/>
        </w:rPr>
        <w:t>or Kiyomi Burchill</w:t>
      </w:r>
      <w:r w:rsidR="00E94FBF">
        <w:rPr>
          <w:rFonts w:ascii="Calibri" w:eastAsia="Calibri" w:hAnsi="Calibri" w:cs="Calibri"/>
          <w:sz w:val="22"/>
          <w:szCs w:val="22"/>
        </w:rPr>
        <w:t xml:space="preserve">, </w:t>
      </w:r>
      <w:r w:rsidR="004041A6">
        <w:rPr>
          <w:rFonts w:ascii="Calibri" w:eastAsia="Calibri" w:hAnsi="Calibri" w:cs="Calibri"/>
          <w:sz w:val="22"/>
          <w:szCs w:val="22"/>
        </w:rPr>
        <w:t>V</w:t>
      </w:r>
      <w:r w:rsidR="00E94FBF">
        <w:rPr>
          <w:rFonts w:ascii="Calibri" w:eastAsia="Calibri" w:hAnsi="Calibri" w:cs="Calibri"/>
          <w:sz w:val="22"/>
          <w:szCs w:val="22"/>
        </w:rPr>
        <w:t xml:space="preserve">ice </w:t>
      </w:r>
      <w:r w:rsidR="004041A6">
        <w:rPr>
          <w:rFonts w:ascii="Calibri" w:eastAsia="Calibri" w:hAnsi="Calibri" w:cs="Calibri"/>
          <w:sz w:val="22"/>
          <w:szCs w:val="22"/>
        </w:rPr>
        <w:t>P</w:t>
      </w:r>
      <w:r w:rsidR="00E94FBF">
        <w:rPr>
          <w:rFonts w:ascii="Calibri" w:eastAsia="Calibri" w:hAnsi="Calibri" w:cs="Calibri"/>
          <w:sz w:val="22"/>
          <w:szCs w:val="22"/>
        </w:rPr>
        <w:t xml:space="preserve">resident, </w:t>
      </w:r>
      <w:r w:rsidR="004041A6">
        <w:rPr>
          <w:rFonts w:ascii="Calibri" w:eastAsia="Calibri" w:hAnsi="Calibri" w:cs="Calibri"/>
          <w:sz w:val="22"/>
          <w:szCs w:val="22"/>
        </w:rPr>
        <w:t>P</w:t>
      </w:r>
      <w:r w:rsidR="00E94FBF">
        <w:rPr>
          <w:rFonts w:ascii="Calibri" w:eastAsia="Calibri" w:hAnsi="Calibri" w:cs="Calibri"/>
          <w:sz w:val="22"/>
          <w:szCs w:val="22"/>
        </w:rPr>
        <w:t>olicy</w:t>
      </w:r>
      <w:r w:rsidR="000C5B13">
        <w:rPr>
          <w:rFonts w:ascii="Calibri" w:eastAsia="Calibri" w:hAnsi="Calibri" w:cs="Calibri"/>
          <w:sz w:val="22"/>
          <w:szCs w:val="22"/>
        </w:rPr>
        <w:t xml:space="preserve"> at </w:t>
      </w:r>
      <w:hyperlink r:id="rId17" w:history="1">
        <w:r w:rsidR="000C5B13" w:rsidRPr="00E35C4F">
          <w:rPr>
            <w:rStyle w:val="Hyperlink"/>
            <w:rFonts w:ascii="Calibri" w:eastAsia="Calibri" w:hAnsi="Calibri" w:cs="Calibri"/>
            <w:sz w:val="22"/>
            <w:szCs w:val="22"/>
          </w:rPr>
          <w:t>kburchill@calhospital.org</w:t>
        </w:r>
      </w:hyperlink>
      <w:r w:rsidR="000C5B13">
        <w:rPr>
          <w:rFonts w:ascii="Calibri" w:eastAsia="Calibri" w:hAnsi="Calibri" w:cs="Calibri"/>
          <w:sz w:val="22"/>
          <w:szCs w:val="22"/>
        </w:rPr>
        <w:t xml:space="preserve"> or (916) 552-7575.</w:t>
      </w:r>
    </w:p>
    <w:p w14:paraId="61319893" w14:textId="77777777" w:rsidR="00A716C1" w:rsidRDefault="00A716C1" w:rsidP="005345CD">
      <w:pPr>
        <w:rPr>
          <w:rFonts w:ascii="Calibri" w:eastAsia="Calibri" w:hAnsi="Calibri" w:cs="Calibri"/>
          <w:sz w:val="22"/>
          <w:szCs w:val="22"/>
        </w:rPr>
      </w:pPr>
    </w:p>
    <w:p w14:paraId="76FBE68E" w14:textId="5FF8A728" w:rsidR="00902FEA" w:rsidRPr="00902FEA" w:rsidRDefault="00902FEA" w:rsidP="005345CD">
      <w:pPr>
        <w:rPr>
          <w:rFonts w:ascii="Calibri" w:eastAsia="Calibri" w:hAnsi="Calibri" w:cs="Calibri"/>
          <w:sz w:val="22"/>
          <w:szCs w:val="22"/>
        </w:rPr>
      </w:pPr>
      <w:r w:rsidRPr="00902FEA">
        <w:rPr>
          <w:rFonts w:ascii="Calibri" w:eastAsia="Calibri" w:hAnsi="Calibri" w:cs="Calibri"/>
          <w:sz w:val="22"/>
          <w:szCs w:val="22"/>
        </w:rPr>
        <w:t>Sincerely,</w:t>
      </w:r>
    </w:p>
    <w:p w14:paraId="47CF9D3A" w14:textId="77777777" w:rsidR="00902FEA" w:rsidRDefault="00902FEA" w:rsidP="005345CD">
      <w:pPr>
        <w:rPr>
          <w:rFonts w:ascii="Calibri" w:eastAsia="Calibri" w:hAnsi="Calibri" w:cs="Calibri"/>
          <w:bCs/>
          <w:iCs/>
          <w:sz w:val="22"/>
          <w:szCs w:val="22"/>
        </w:rPr>
      </w:pPr>
    </w:p>
    <w:p w14:paraId="0EC69BC9" w14:textId="24AACEE3" w:rsidR="00902FEA" w:rsidRPr="00902FEA" w:rsidRDefault="00902FEA" w:rsidP="005345CD">
      <w:pPr>
        <w:rPr>
          <w:rFonts w:ascii="Calibri" w:eastAsia="Calibri" w:hAnsi="Calibri" w:cs="Calibri"/>
          <w:bCs/>
          <w:iCs/>
          <w:sz w:val="22"/>
          <w:szCs w:val="22"/>
        </w:rPr>
      </w:pPr>
      <w:r w:rsidRPr="00902FEA">
        <w:rPr>
          <w:rFonts w:ascii="Calibri" w:eastAsia="Calibri" w:hAnsi="Calibri" w:cs="Calibri"/>
          <w:bCs/>
          <w:iCs/>
          <w:sz w:val="22"/>
          <w:szCs w:val="22"/>
        </w:rPr>
        <w:t>/s/</w:t>
      </w:r>
    </w:p>
    <w:p w14:paraId="74532251" w14:textId="77777777" w:rsidR="00902FEA" w:rsidRPr="00902FEA" w:rsidRDefault="00902FEA" w:rsidP="005345CD">
      <w:pPr>
        <w:rPr>
          <w:rFonts w:ascii="Calibri" w:eastAsia="Calibri" w:hAnsi="Calibri" w:cs="Calibri"/>
          <w:bCs/>
          <w:iCs/>
          <w:sz w:val="22"/>
          <w:szCs w:val="22"/>
        </w:rPr>
      </w:pPr>
      <w:r w:rsidRPr="00902FEA">
        <w:rPr>
          <w:rFonts w:ascii="Calibri" w:eastAsia="Calibri" w:hAnsi="Calibri" w:cs="Calibri"/>
          <w:bCs/>
          <w:iCs/>
          <w:sz w:val="22"/>
          <w:szCs w:val="22"/>
        </w:rPr>
        <w:t>Alyssa Keefe</w:t>
      </w:r>
    </w:p>
    <w:p w14:paraId="34587563" w14:textId="77777777" w:rsidR="00902FEA" w:rsidRPr="00902FEA" w:rsidRDefault="00902FEA" w:rsidP="005345CD">
      <w:pPr>
        <w:rPr>
          <w:rFonts w:ascii="Calibri" w:eastAsia="Calibri" w:hAnsi="Calibri" w:cs="Calibri"/>
          <w:bCs/>
          <w:iCs/>
          <w:sz w:val="22"/>
          <w:szCs w:val="22"/>
        </w:rPr>
      </w:pPr>
      <w:r w:rsidRPr="00902FEA">
        <w:rPr>
          <w:rFonts w:ascii="Calibri" w:eastAsia="Calibri" w:hAnsi="Calibri" w:cs="Calibri"/>
          <w:bCs/>
          <w:iCs/>
          <w:sz w:val="22"/>
          <w:szCs w:val="22"/>
        </w:rPr>
        <w:t xml:space="preserve">Vice President, Federal Regulatory Affairs </w:t>
      </w:r>
    </w:p>
    <w:p w14:paraId="59F00E4A" w14:textId="77777777" w:rsidR="00E02378" w:rsidRPr="003B0287" w:rsidRDefault="00E02378" w:rsidP="00E861F1">
      <w:pPr>
        <w:rPr>
          <w:rFonts w:eastAsia="Calibri"/>
        </w:rPr>
      </w:pPr>
    </w:p>
    <w:sectPr w:rsidR="00E02378" w:rsidRPr="003B0287" w:rsidSect="008572EB">
      <w:type w:val="continuous"/>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E679" w14:textId="77777777" w:rsidR="008A5E26" w:rsidRDefault="008A5E26">
      <w:r>
        <w:separator/>
      </w:r>
    </w:p>
  </w:endnote>
  <w:endnote w:type="continuationSeparator" w:id="0">
    <w:p w14:paraId="484B133E" w14:textId="77777777" w:rsidR="008A5E26" w:rsidRDefault="008A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EE2E" w14:textId="75C52792" w:rsidR="00033B70" w:rsidRDefault="00033B70" w:rsidP="00CB1D79">
    <w:pPr>
      <w:pStyle w:val="Footer"/>
      <w:jc w:val="center"/>
    </w:pPr>
    <w:r>
      <w:rPr>
        <w:noProof/>
      </w:rPr>
      <w:drawing>
        <wp:inline distT="0" distB="0" distL="0" distR="0" wp14:anchorId="1765236A" wp14:editId="1E0C53BB">
          <wp:extent cx="5943600" cy="390525"/>
          <wp:effectExtent l="0" t="0" r="0" b="9525"/>
          <wp:docPr id="3" name="Picture 3" descr="footer DC&am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DC&amp;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2E0E" w14:textId="77777777" w:rsidR="008A5E26" w:rsidRDefault="008A5E26">
      <w:r>
        <w:separator/>
      </w:r>
    </w:p>
  </w:footnote>
  <w:footnote w:type="continuationSeparator" w:id="0">
    <w:p w14:paraId="30274E32" w14:textId="77777777" w:rsidR="008A5E26" w:rsidRDefault="008A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E6FA" w14:textId="77777777" w:rsidR="00033B70" w:rsidRDefault="00033B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7E841" w14:textId="77777777" w:rsidR="00033B70" w:rsidRDefault="00033B70">
    <w:pPr>
      <w:ind w:right="360"/>
    </w:pPr>
    <w:r>
      <w:t>Addressee</w:t>
    </w:r>
    <w:r>
      <w:tab/>
    </w:r>
    <w:r>
      <w:tab/>
    </w:r>
    <w:r>
      <w:tab/>
    </w:r>
    <w:r>
      <w:tab/>
    </w:r>
    <w:r>
      <w:tab/>
    </w:r>
    <w:r>
      <w:tab/>
    </w:r>
    <w:r>
      <w:tab/>
    </w:r>
    <w:r>
      <w:tab/>
    </w:r>
    <w:r>
      <w:tab/>
    </w:r>
    <w:r>
      <w:tab/>
    </w:r>
    <w:r>
      <w:tab/>
      <w:t>Page 2</w:t>
    </w:r>
  </w:p>
  <w:p w14:paraId="75E5BA82" w14:textId="77777777" w:rsidR="00033B70" w:rsidRDefault="00033B70">
    <w:pPr>
      <w:pStyle w:val="Header"/>
    </w:pPr>
    <w:r>
      <w:t>Date</w:t>
    </w:r>
  </w:p>
  <w:p w14:paraId="09311693" w14:textId="77777777" w:rsidR="00033B70" w:rsidRDefault="008A5E26">
    <w:pPr>
      <w:pStyle w:val="Header"/>
    </w:pPr>
    <w:r>
      <w:pict w14:anchorId="4EFD7C75">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0355" w14:textId="6850CFAF" w:rsidR="00033B70" w:rsidRDefault="00033B70" w:rsidP="002073C0">
    <w:pPr>
      <w:autoSpaceDE w:val="0"/>
      <w:autoSpaceDN w:val="0"/>
      <w:adjustRightInd w:val="0"/>
      <w:rPr>
        <w:rFonts w:ascii="Calibri" w:eastAsia="Calibri" w:hAnsi="Calibri" w:cs="Calibri"/>
        <w:color w:val="000000"/>
        <w:sz w:val="22"/>
        <w:szCs w:val="22"/>
      </w:rPr>
    </w:pPr>
    <w:r>
      <w:rPr>
        <w:rFonts w:asciiTheme="minorHAnsi" w:hAnsiTheme="minorHAnsi" w:cstheme="minorHAnsi"/>
        <w:sz w:val="22"/>
        <w:szCs w:val="22"/>
      </w:rPr>
      <w:t xml:space="preserve">Administrator </w:t>
    </w:r>
    <w:sdt>
      <w:sdtPr>
        <w:rPr>
          <w:rFonts w:asciiTheme="minorHAnsi" w:hAnsiTheme="minorHAnsi" w:cstheme="minorHAnsi"/>
          <w:sz w:val="22"/>
          <w:szCs w:val="22"/>
        </w:rPr>
        <w:id w:val="450980854"/>
        <w:docPartObj>
          <w:docPartGallery w:val="Watermarks"/>
          <w:docPartUnique/>
        </w:docPartObj>
      </w:sdtPr>
      <w:sdtEndPr/>
      <w:sdtContent>
        <w:r w:rsidR="008A5E26">
          <w:rPr>
            <w:rFonts w:asciiTheme="minorHAnsi" w:hAnsiTheme="minorHAnsi" w:cstheme="minorHAnsi"/>
            <w:noProof/>
            <w:sz w:val="22"/>
            <w:szCs w:val="22"/>
          </w:rPr>
          <w:pict w14:anchorId="60C08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Calibri" w:eastAsia="Calibri" w:hAnsi="Calibri" w:cs="Calibri"/>
        <w:color w:val="000000"/>
        <w:sz w:val="22"/>
        <w:szCs w:val="22"/>
      </w:rPr>
      <w:t xml:space="preserve">Seema Verma </w:t>
    </w:r>
  </w:p>
  <w:p w14:paraId="7CE5A4C5" w14:textId="4333CB52" w:rsidR="00033B70" w:rsidRPr="00225B4A" w:rsidRDefault="00033B70" w:rsidP="00BB29B3">
    <w:pPr>
      <w:pStyle w:val="Header"/>
      <w:pBdr>
        <w:bottom w:val="single" w:sz="4" w:space="1" w:color="auto"/>
      </w:pBdr>
      <w:rPr>
        <w:rFonts w:asciiTheme="minorHAnsi" w:hAnsiTheme="minorHAnsi" w:cstheme="minorHAnsi"/>
        <w:sz w:val="22"/>
        <w:szCs w:val="22"/>
      </w:rPr>
    </w:pPr>
    <w:r>
      <w:rPr>
        <w:rFonts w:asciiTheme="minorHAnsi" w:hAnsiTheme="minorHAnsi" w:cstheme="minorHAnsi"/>
        <w:sz w:val="22"/>
        <w:szCs w:val="22"/>
      </w:rPr>
      <w:t>June 17, 2019</w:t>
    </w:r>
    <w:r w:rsidRPr="00225B4A">
      <w:rPr>
        <w:rFonts w:asciiTheme="minorHAnsi" w:hAnsiTheme="minorHAnsi" w:cstheme="minorHAnsi"/>
        <w:sz w:val="22"/>
        <w:szCs w:val="22"/>
      </w:rPr>
      <w:tab/>
    </w:r>
    <w:r w:rsidRPr="00225B4A">
      <w:rPr>
        <w:rFonts w:asciiTheme="minorHAnsi" w:hAnsiTheme="minorHAnsi" w:cstheme="minorHAnsi"/>
        <w:sz w:val="22"/>
        <w:szCs w:val="22"/>
      </w:rPr>
      <w:tab/>
      <w:t xml:space="preserve">Page </w:t>
    </w:r>
    <w:r w:rsidRPr="00225B4A">
      <w:rPr>
        <w:rFonts w:asciiTheme="minorHAnsi" w:hAnsiTheme="minorHAnsi" w:cstheme="minorHAnsi"/>
        <w:sz w:val="22"/>
        <w:szCs w:val="22"/>
      </w:rPr>
      <w:fldChar w:fldCharType="begin"/>
    </w:r>
    <w:r w:rsidRPr="00225B4A">
      <w:rPr>
        <w:rFonts w:asciiTheme="minorHAnsi" w:hAnsiTheme="minorHAnsi" w:cstheme="minorHAnsi"/>
        <w:sz w:val="22"/>
        <w:szCs w:val="22"/>
      </w:rPr>
      <w:instrText xml:space="preserve"> PAGE   \* MERGEFORMAT </w:instrText>
    </w:r>
    <w:r w:rsidRPr="00225B4A">
      <w:rPr>
        <w:rFonts w:asciiTheme="minorHAnsi" w:hAnsiTheme="minorHAnsi" w:cstheme="minorHAnsi"/>
        <w:sz w:val="22"/>
        <w:szCs w:val="22"/>
      </w:rPr>
      <w:fldChar w:fldCharType="separate"/>
    </w:r>
    <w:r w:rsidR="00E94FBF">
      <w:rPr>
        <w:rFonts w:asciiTheme="minorHAnsi" w:hAnsiTheme="minorHAnsi" w:cstheme="minorHAnsi"/>
        <w:noProof/>
        <w:sz w:val="22"/>
        <w:szCs w:val="22"/>
      </w:rPr>
      <w:t>6</w:t>
    </w:r>
    <w:r w:rsidRPr="00225B4A">
      <w:rPr>
        <w:rFonts w:asciiTheme="minorHAnsi" w:hAnsiTheme="minorHAnsi" w:cstheme="minorHAnsi"/>
        <w:noProof/>
        <w:sz w:val="22"/>
        <w:szCs w:val="22"/>
      </w:rPr>
      <w:fldChar w:fldCharType="end"/>
    </w:r>
  </w:p>
  <w:p w14:paraId="10EF1161" w14:textId="77777777" w:rsidR="00033B70" w:rsidRPr="00225B4A" w:rsidRDefault="00033B70" w:rsidP="00BB29B3">
    <w:pPr>
      <w:pStyle w:val="Header"/>
      <w:pBdr>
        <w:bottom w:val="single" w:sz="4" w:space="1" w:color="auto"/>
      </w:pBdr>
      <w:rPr>
        <w:rFonts w:asciiTheme="minorHAnsi" w:hAnsiTheme="minorHAnsi" w:cstheme="minorHAnsi"/>
        <w:sz w:val="22"/>
        <w:szCs w:val="22"/>
      </w:rPr>
    </w:pPr>
  </w:p>
  <w:p w14:paraId="3E7A7ACC" w14:textId="77777777" w:rsidR="00033B70" w:rsidRDefault="0003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F7A0" w14:textId="1BB7532F" w:rsidR="00033B70" w:rsidRPr="002334E2" w:rsidRDefault="00033B70" w:rsidP="00CB1D79">
    <w:pPr>
      <w:pStyle w:val="Header"/>
      <w:spacing w:before="120" w:after="240"/>
      <w:ind w:left="2880" w:right="-432"/>
      <w:jc w:val="right"/>
      <w:rPr>
        <w:b/>
      </w:rPr>
    </w:pPr>
    <w:r>
      <w:rPr>
        <w:b/>
        <w:noProof/>
      </w:rPr>
      <w:drawing>
        <wp:inline distT="0" distB="0" distL="0" distR="0" wp14:anchorId="56AF5F92" wp14:editId="20F24021">
          <wp:extent cx="2009775" cy="952500"/>
          <wp:effectExtent l="0" t="0" r="9525" b="0"/>
          <wp:docPr id="2" name="Picture 2" descr="CHA logo with tag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 logo with tag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419"/>
    <w:multiLevelType w:val="hybridMultilevel"/>
    <w:tmpl w:val="A500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29B2"/>
    <w:multiLevelType w:val="hybridMultilevel"/>
    <w:tmpl w:val="B90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E2397"/>
    <w:multiLevelType w:val="hybridMultilevel"/>
    <w:tmpl w:val="74D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6A39"/>
    <w:multiLevelType w:val="hybridMultilevel"/>
    <w:tmpl w:val="9BAE1222"/>
    <w:lvl w:ilvl="0" w:tplc="1374AC8C">
      <w:start w:val="1"/>
      <w:numFmt w:val="bullet"/>
      <w:lvlText w:val="●"/>
      <w:lvlJc w:val="left"/>
      <w:pPr>
        <w:tabs>
          <w:tab w:val="num" w:pos="720"/>
        </w:tabs>
        <w:ind w:left="720" w:hanging="360"/>
      </w:pPr>
      <w:rPr>
        <w:rFonts w:ascii="Arial" w:hAnsi="Arial" w:hint="default"/>
      </w:rPr>
    </w:lvl>
    <w:lvl w:ilvl="1" w:tplc="0D028148">
      <w:start w:val="24275"/>
      <w:numFmt w:val="bullet"/>
      <w:lvlText w:val="●"/>
      <w:lvlJc w:val="left"/>
      <w:pPr>
        <w:tabs>
          <w:tab w:val="num" w:pos="1440"/>
        </w:tabs>
        <w:ind w:left="1440" w:hanging="360"/>
      </w:pPr>
      <w:rPr>
        <w:rFonts w:ascii="Arial" w:hAnsi="Arial" w:hint="default"/>
      </w:rPr>
    </w:lvl>
    <w:lvl w:ilvl="2" w:tplc="19CAAF62" w:tentative="1">
      <w:start w:val="1"/>
      <w:numFmt w:val="bullet"/>
      <w:lvlText w:val="●"/>
      <w:lvlJc w:val="left"/>
      <w:pPr>
        <w:tabs>
          <w:tab w:val="num" w:pos="2160"/>
        </w:tabs>
        <w:ind w:left="2160" w:hanging="360"/>
      </w:pPr>
      <w:rPr>
        <w:rFonts w:ascii="Arial" w:hAnsi="Arial" w:hint="default"/>
      </w:rPr>
    </w:lvl>
    <w:lvl w:ilvl="3" w:tplc="B49E90A6" w:tentative="1">
      <w:start w:val="1"/>
      <w:numFmt w:val="bullet"/>
      <w:lvlText w:val="●"/>
      <w:lvlJc w:val="left"/>
      <w:pPr>
        <w:tabs>
          <w:tab w:val="num" w:pos="2880"/>
        </w:tabs>
        <w:ind w:left="2880" w:hanging="360"/>
      </w:pPr>
      <w:rPr>
        <w:rFonts w:ascii="Arial" w:hAnsi="Arial" w:hint="default"/>
      </w:rPr>
    </w:lvl>
    <w:lvl w:ilvl="4" w:tplc="AE127F08" w:tentative="1">
      <w:start w:val="1"/>
      <w:numFmt w:val="bullet"/>
      <w:lvlText w:val="●"/>
      <w:lvlJc w:val="left"/>
      <w:pPr>
        <w:tabs>
          <w:tab w:val="num" w:pos="3600"/>
        </w:tabs>
        <w:ind w:left="3600" w:hanging="360"/>
      </w:pPr>
      <w:rPr>
        <w:rFonts w:ascii="Arial" w:hAnsi="Arial" w:hint="default"/>
      </w:rPr>
    </w:lvl>
    <w:lvl w:ilvl="5" w:tplc="ED00C9E4" w:tentative="1">
      <w:start w:val="1"/>
      <w:numFmt w:val="bullet"/>
      <w:lvlText w:val="●"/>
      <w:lvlJc w:val="left"/>
      <w:pPr>
        <w:tabs>
          <w:tab w:val="num" w:pos="4320"/>
        </w:tabs>
        <w:ind w:left="4320" w:hanging="360"/>
      </w:pPr>
      <w:rPr>
        <w:rFonts w:ascii="Arial" w:hAnsi="Arial" w:hint="default"/>
      </w:rPr>
    </w:lvl>
    <w:lvl w:ilvl="6" w:tplc="EBB2AC0E" w:tentative="1">
      <w:start w:val="1"/>
      <w:numFmt w:val="bullet"/>
      <w:lvlText w:val="●"/>
      <w:lvlJc w:val="left"/>
      <w:pPr>
        <w:tabs>
          <w:tab w:val="num" w:pos="5040"/>
        </w:tabs>
        <w:ind w:left="5040" w:hanging="360"/>
      </w:pPr>
      <w:rPr>
        <w:rFonts w:ascii="Arial" w:hAnsi="Arial" w:hint="default"/>
      </w:rPr>
    </w:lvl>
    <w:lvl w:ilvl="7" w:tplc="3CBAF62E" w:tentative="1">
      <w:start w:val="1"/>
      <w:numFmt w:val="bullet"/>
      <w:lvlText w:val="●"/>
      <w:lvlJc w:val="left"/>
      <w:pPr>
        <w:tabs>
          <w:tab w:val="num" w:pos="5760"/>
        </w:tabs>
        <w:ind w:left="5760" w:hanging="360"/>
      </w:pPr>
      <w:rPr>
        <w:rFonts w:ascii="Arial" w:hAnsi="Arial" w:hint="default"/>
      </w:rPr>
    </w:lvl>
    <w:lvl w:ilvl="8" w:tplc="FFF066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14B44"/>
    <w:multiLevelType w:val="multilevel"/>
    <w:tmpl w:val="465EDF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D2CBA"/>
    <w:multiLevelType w:val="hybridMultilevel"/>
    <w:tmpl w:val="4B148CF2"/>
    <w:lvl w:ilvl="0" w:tplc="B64E3B54">
      <w:start w:val="1"/>
      <w:numFmt w:val="bullet"/>
      <w:lvlText w:val="●"/>
      <w:lvlJc w:val="left"/>
      <w:pPr>
        <w:tabs>
          <w:tab w:val="num" w:pos="720"/>
        </w:tabs>
        <w:ind w:left="720" w:hanging="360"/>
      </w:pPr>
      <w:rPr>
        <w:rFonts w:ascii="Arial" w:hAnsi="Arial" w:hint="default"/>
      </w:rPr>
    </w:lvl>
    <w:lvl w:ilvl="1" w:tplc="574A3FFE">
      <w:start w:val="24275"/>
      <w:numFmt w:val="bullet"/>
      <w:lvlText w:val="●"/>
      <w:lvlJc w:val="left"/>
      <w:pPr>
        <w:tabs>
          <w:tab w:val="num" w:pos="1440"/>
        </w:tabs>
        <w:ind w:left="1440" w:hanging="360"/>
      </w:pPr>
      <w:rPr>
        <w:rFonts w:ascii="Arial" w:hAnsi="Arial" w:hint="default"/>
      </w:rPr>
    </w:lvl>
    <w:lvl w:ilvl="2" w:tplc="656AFD62" w:tentative="1">
      <w:start w:val="1"/>
      <w:numFmt w:val="bullet"/>
      <w:lvlText w:val="●"/>
      <w:lvlJc w:val="left"/>
      <w:pPr>
        <w:tabs>
          <w:tab w:val="num" w:pos="2160"/>
        </w:tabs>
        <w:ind w:left="2160" w:hanging="360"/>
      </w:pPr>
      <w:rPr>
        <w:rFonts w:ascii="Arial" w:hAnsi="Arial" w:hint="default"/>
      </w:rPr>
    </w:lvl>
    <w:lvl w:ilvl="3" w:tplc="458A568E" w:tentative="1">
      <w:start w:val="1"/>
      <w:numFmt w:val="bullet"/>
      <w:lvlText w:val="●"/>
      <w:lvlJc w:val="left"/>
      <w:pPr>
        <w:tabs>
          <w:tab w:val="num" w:pos="2880"/>
        </w:tabs>
        <w:ind w:left="2880" w:hanging="360"/>
      </w:pPr>
      <w:rPr>
        <w:rFonts w:ascii="Arial" w:hAnsi="Arial" w:hint="default"/>
      </w:rPr>
    </w:lvl>
    <w:lvl w:ilvl="4" w:tplc="DD022340" w:tentative="1">
      <w:start w:val="1"/>
      <w:numFmt w:val="bullet"/>
      <w:lvlText w:val="●"/>
      <w:lvlJc w:val="left"/>
      <w:pPr>
        <w:tabs>
          <w:tab w:val="num" w:pos="3600"/>
        </w:tabs>
        <w:ind w:left="3600" w:hanging="360"/>
      </w:pPr>
      <w:rPr>
        <w:rFonts w:ascii="Arial" w:hAnsi="Arial" w:hint="default"/>
      </w:rPr>
    </w:lvl>
    <w:lvl w:ilvl="5" w:tplc="C97C16C0" w:tentative="1">
      <w:start w:val="1"/>
      <w:numFmt w:val="bullet"/>
      <w:lvlText w:val="●"/>
      <w:lvlJc w:val="left"/>
      <w:pPr>
        <w:tabs>
          <w:tab w:val="num" w:pos="4320"/>
        </w:tabs>
        <w:ind w:left="4320" w:hanging="360"/>
      </w:pPr>
      <w:rPr>
        <w:rFonts w:ascii="Arial" w:hAnsi="Arial" w:hint="default"/>
      </w:rPr>
    </w:lvl>
    <w:lvl w:ilvl="6" w:tplc="421EFEF8" w:tentative="1">
      <w:start w:val="1"/>
      <w:numFmt w:val="bullet"/>
      <w:lvlText w:val="●"/>
      <w:lvlJc w:val="left"/>
      <w:pPr>
        <w:tabs>
          <w:tab w:val="num" w:pos="5040"/>
        </w:tabs>
        <w:ind w:left="5040" w:hanging="360"/>
      </w:pPr>
      <w:rPr>
        <w:rFonts w:ascii="Arial" w:hAnsi="Arial" w:hint="default"/>
      </w:rPr>
    </w:lvl>
    <w:lvl w:ilvl="7" w:tplc="0E5077C6" w:tentative="1">
      <w:start w:val="1"/>
      <w:numFmt w:val="bullet"/>
      <w:lvlText w:val="●"/>
      <w:lvlJc w:val="left"/>
      <w:pPr>
        <w:tabs>
          <w:tab w:val="num" w:pos="5760"/>
        </w:tabs>
        <w:ind w:left="5760" w:hanging="360"/>
      </w:pPr>
      <w:rPr>
        <w:rFonts w:ascii="Arial" w:hAnsi="Arial" w:hint="default"/>
      </w:rPr>
    </w:lvl>
    <w:lvl w:ilvl="8" w:tplc="67D4AA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3249BE"/>
    <w:multiLevelType w:val="hybridMultilevel"/>
    <w:tmpl w:val="4CE8AD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B708F"/>
    <w:multiLevelType w:val="hybridMultilevel"/>
    <w:tmpl w:val="D9B804E0"/>
    <w:lvl w:ilvl="0" w:tplc="43DA59C6">
      <w:start w:val="1"/>
      <w:numFmt w:val="decimal"/>
      <w:lvlText w:val="(%1)"/>
      <w:lvlJc w:val="left"/>
      <w:pPr>
        <w:ind w:left="100" w:hanging="339"/>
      </w:pPr>
      <w:rPr>
        <w:rFonts w:ascii="Times New Roman" w:eastAsia="Times New Roman" w:hAnsi="Times New Roman" w:cs="Times New Roman" w:hint="default"/>
        <w:spacing w:val="-1"/>
        <w:w w:val="99"/>
        <w:sz w:val="24"/>
        <w:szCs w:val="24"/>
        <w:lang w:val="en-US" w:eastAsia="en-US" w:bidi="en-US"/>
      </w:rPr>
    </w:lvl>
    <w:lvl w:ilvl="1" w:tplc="8ADCA0BA">
      <w:numFmt w:val="bullet"/>
      <w:lvlText w:val=""/>
      <w:lvlJc w:val="left"/>
      <w:pPr>
        <w:ind w:left="640" w:hanging="360"/>
      </w:pPr>
      <w:rPr>
        <w:rFonts w:ascii="Symbol" w:eastAsia="Symbol" w:hAnsi="Symbol" w:cs="Symbol" w:hint="default"/>
        <w:w w:val="100"/>
        <w:sz w:val="24"/>
        <w:szCs w:val="24"/>
        <w:lang w:val="en-US" w:eastAsia="en-US" w:bidi="en-US"/>
      </w:rPr>
    </w:lvl>
    <w:lvl w:ilvl="2" w:tplc="6EA4FD04">
      <w:numFmt w:val="bullet"/>
      <w:lvlText w:val="o"/>
      <w:lvlJc w:val="left"/>
      <w:pPr>
        <w:ind w:left="1000" w:hanging="360"/>
      </w:pPr>
      <w:rPr>
        <w:rFonts w:ascii="Courier New" w:eastAsia="Courier New" w:hAnsi="Courier New" w:cs="Courier New" w:hint="default"/>
        <w:w w:val="100"/>
        <w:sz w:val="24"/>
        <w:szCs w:val="24"/>
        <w:lang w:val="en-US" w:eastAsia="en-US" w:bidi="en-US"/>
      </w:rPr>
    </w:lvl>
    <w:lvl w:ilvl="3" w:tplc="4A54C532">
      <w:numFmt w:val="bullet"/>
      <w:lvlText w:val="•"/>
      <w:lvlJc w:val="left"/>
      <w:pPr>
        <w:ind w:left="2070" w:hanging="360"/>
      </w:pPr>
      <w:rPr>
        <w:rFonts w:hint="default"/>
        <w:lang w:val="en-US" w:eastAsia="en-US" w:bidi="en-US"/>
      </w:rPr>
    </w:lvl>
    <w:lvl w:ilvl="4" w:tplc="9C34FC0E">
      <w:numFmt w:val="bullet"/>
      <w:lvlText w:val="•"/>
      <w:lvlJc w:val="left"/>
      <w:pPr>
        <w:ind w:left="3140" w:hanging="360"/>
      </w:pPr>
      <w:rPr>
        <w:rFonts w:hint="default"/>
        <w:lang w:val="en-US" w:eastAsia="en-US" w:bidi="en-US"/>
      </w:rPr>
    </w:lvl>
    <w:lvl w:ilvl="5" w:tplc="2E4C9656">
      <w:numFmt w:val="bullet"/>
      <w:lvlText w:val="•"/>
      <w:lvlJc w:val="left"/>
      <w:pPr>
        <w:ind w:left="4210" w:hanging="360"/>
      </w:pPr>
      <w:rPr>
        <w:rFonts w:hint="default"/>
        <w:lang w:val="en-US" w:eastAsia="en-US" w:bidi="en-US"/>
      </w:rPr>
    </w:lvl>
    <w:lvl w:ilvl="6" w:tplc="D1B6CD1C">
      <w:numFmt w:val="bullet"/>
      <w:lvlText w:val="•"/>
      <w:lvlJc w:val="left"/>
      <w:pPr>
        <w:ind w:left="5280" w:hanging="360"/>
      </w:pPr>
      <w:rPr>
        <w:rFonts w:hint="default"/>
        <w:lang w:val="en-US" w:eastAsia="en-US" w:bidi="en-US"/>
      </w:rPr>
    </w:lvl>
    <w:lvl w:ilvl="7" w:tplc="341A4664">
      <w:numFmt w:val="bullet"/>
      <w:lvlText w:val="•"/>
      <w:lvlJc w:val="left"/>
      <w:pPr>
        <w:ind w:left="6350" w:hanging="360"/>
      </w:pPr>
      <w:rPr>
        <w:rFonts w:hint="default"/>
        <w:lang w:val="en-US" w:eastAsia="en-US" w:bidi="en-US"/>
      </w:rPr>
    </w:lvl>
    <w:lvl w:ilvl="8" w:tplc="BE7C2664">
      <w:numFmt w:val="bullet"/>
      <w:lvlText w:val="•"/>
      <w:lvlJc w:val="left"/>
      <w:pPr>
        <w:ind w:left="7420" w:hanging="360"/>
      </w:pPr>
      <w:rPr>
        <w:rFonts w:hint="default"/>
        <w:lang w:val="en-US" w:eastAsia="en-US" w:bidi="en-US"/>
      </w:rPr>
    </w:lvl>
  </w:abstractNum>
  <w:abstractNum w:abstractNumId="8" w15:restartNumberingAfterBreak="0">
    <w:nsid w:val="690F2873"/>
    <w:multiLevelType w:val="hybridMultilevel"/>
    <w:tmpl w:val="F5E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E65B5"/>
    <w:multiLevelType w:val="hybridMultilevel"/>
    <w:tmpl w:val="4F4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0"/>
  </w:num>
  <w:num w:numId="6">
    <w:abstractNumId w:val="8"/>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F3"/>
    <w:rsid w:val="0000043E"/>
    <w:rsid w:val="0000342E"/>
    <w:rsid w:val="000050A6"/>
    <w:rsid w:val="00007DCD"/>
    <w:rsid w:val="0001300A"/>
    <w:rsid w:val="000204F9"/>
    <w:rsid w:val="000225FF"/>
    <w:rsid w:val="000263CD"/>
    <w:rsid w:val="00033B70"/>
    <w:rsid w:val="000439ED"/>
    <w:rsid w:val="00045005"/>
    <w:rsid w:val="000458CE"/>
    <w:rsid w:val="00055DF2"/>
    <w:rsid w:val="00056F34"/>
    <w:rsid w:val="00074F33"/>
    <w:rsid w:val="00086E22"/>
    <w:rsid w:val="00097C52"/>
    <w:rsid w:val="000A32F5"/>
    <w:rsid w:val="000A6469"/>
    <w:rsid w:val="000C5155"/>
    <w:rsid w:val="000C5B13"/>
    <w:rsid w:val="000D4574"/>
    <w:rsid w:val="000E0DB3"/>
    <w:rsid w:val="000E13B3"/>
    <w:rsid w:val="000E4DDA"/>
    <w:rsid w:val="000E7C0B"/>
    <w:rsid w:val="000F027B"/>
    <w:rsid w:val="000F13C5"/>
    <w:rsid w:val="000F29A5"/>
    <w:rsid w:val="0010448A"/>
    <w:rsid w:val="00116E21"/>
    <w:rsid w:val="00117276"/>
    <w:rsid w:val="00146D4A"/>
    <w:rsid w:val="00151253"/>
    <w:rsid w:val="00152513"/>
    <w:rsid w:val="00154576"/>
    <w:rsid w:val="00157E9F"/>
    <w:rsid w:val="0016033F"/>
    <w:rsid w:val="001734C5"/>
    <w:rsid w:val="001768E4"/>
    <w:rsid w:val="001832E5"/>
    <w:rsid w:val="00190CC5"/>
    <w:rsid w:val="00190F5E"/>
    <w:rsid w:val="00197161"/>
    <w:rsid w:val="001A50BC"/>
    <w:rsid w:val="001C130D"/>
    <w:rsid w:val="001D79EE"/>
    <w:rsid w:val="001E1697"/>
    <w:rsid w:val="001E1A67"/>
    <w:rsid w:val="001E421D"/>
    <w:rsid w:val="001F2321"/>
    <w:rsid w:val="001F3490"/>
    <w:rsid w:val="001F5447"/>
    <w:rsid w:val="00206FA3"/>
    <w:rsid w:val="002073C0"/>
    <w:rsid w:val="002075AB"/>
    <w:rsid w:val="00207870"/>
    <w:rsid w:val="00210625"/>
    <w:rsid w:val="002107EA"/>
    <w:rsid w:val="00225B4A"/>
    <w:rsid w:val="002334E2"/>
    <w:rsid w:val="0023571F"/>
    <w:rsid w:val="00253029"/>
    <w:rsid w:val="0025425B"/>
    <w:rsid w:val="00255908"/>
    <w:rsid w:val="002614A7"/>
    <w:rsid w:val="00264713"/>
    <w:rsid w:val="00265C87"/>
    <w:rsid w:val="002706BF"/>
    <w:rsid w:val="00274178"/>
    <w:rsid w:val="0029482C"/>
    <w:rsid w:val="00296FBB"/>
    <w:rsid w:val="002A0D43"/>
    <w:rsid w:val="002A0D68"/>
    <w:rsid w:val="002B1209"/>
    <w:rsid w:val="002C4330"/>
    <w:rsid w:val="002C5ADA"/>
    <w:rsid w:val="002C7697"/>
    <w:rsid w:val="002C7AAD"/>
    <w:rsid w:val="002D122A"/>
    <w:rsid w:val="002E6243"/>
    <w:rsid w:val="002F07DB"/>
    <w:rsid w:val="002F2DF6"/>
    <w:rsid w:val="00300FEF"/>
    <w:rsid w:val="00307ED2"/>
    <w:rsid w:val="00313ADD"/>
    <w:rsid w:val="0032334A"/>
    <w:rsid w:val="00324571"/>
    <w:rsid w:val="003266B1"/>
    <w:rsid w:val="00331B26"/>
    <w:rsid w:val="00337947"/>
    <w:rsid w:val="00344DBF"/>
    <w:rsid w:val="003477C2"/>
    <w:rsid w:val="00354115"/>
    <w:rsid w:val="0035640A"/>
    <w:rsid w:val="00357875"/>
    <w:rsid w:val="00362F5E"/>
    <w:rsid w:val="00363E8F"/>
    <w:rsid w:val="003725E4"/>
    <w:rsid w:val="00373CA1"/>
    <w:rsid w:val="00376280"/>
    <w:rsid w:val="00377B7B"/>
    <w:rsid w:val="0038693B"/>
    <w:rsid w:val="003928B5"/>
    <w:rsid w:val="0039376E"/>
    <w:rsid w:val="003958D3"/>
    <w:rsid w:val="003A4611"/>
    <w:rsid w:val="003A61D4"/>
    <w:rsid w:val="003B0287"/>
    <w:rsid w:val="003B26A4"/>
    <w:rsid w:val="003B28BD"/>
    <w:rsid w:val="003D0F5F"/>
    <w:rsid w:val="003D4FFF"/>
    <w:rsid w:val="003D52F4"/>
    <w:rsid w:val="003E6CF4"/>
    <w:rsid w:val="004041A6"/>
    <w:rsid w:val="00414094"/>
    <w:rsid w:val="00416AEA"/>
    <w:rsid w:val="00426571"/>
    <w:rsid w:val="00441BBE"/>
    <w:rsid w:val="00452D4F"/>
    <w:rsid w:val="0045344D"/>
    <w:rsid w:val="00453C81"/>
    <w:rsid w:val="00454326"/>
    <w:rsid w:val="00454CA3"/>
    <w:rsid w:val="0045655A"/>
    <w:rsid w:val="00462C81"/>
    <w:rsid w:val="00463057"/>
    <w:rsid w:val="00471C87"/>
    <w:rsid w:val="00473700"/>
    <w:rsid w:val="004937E6"/>
    <w:rsid w:val="0049520D"/>
    <w:rsid w:val="004A14FD"/>
    <w:rsid w:val="004A411C"/>
    <w:rsid w:val="004A5C9B"/>
    <w:rsid w:val="004B1605"/>
    <w:rsid w:val="004B2DF6"/>
    <w:rsid w:val="004B6295"/>
    <w:rsid w:val="004C0576"/>
    <w:rsid w:val="004C05BC"/>
    <w:rsid w:val="004C12A9"/>
    <w:rsid w:val="004C1464"/>
    <w:rsid w:val="004C58E9"/>
    <w:rsid w:val="004D18AF"/>
    <w:rsid w:val="004D3365"/>
    <w:rsid w:val="004D41BF"/>
    <w:rsid w:val="004E0BE1"/>
    <w:rsid w:val="004E2A4D"/>
    <w:rsid w:val="004E7DCB"/>
    <w:rsid w:val="004F48DB"/>
    <w:rsid w:val="00506AFE"/>
    <w:rsid w:val="00510B7D"/>
    <w:rsid w:val="00510DB2"/>
    <w:rsid w:val="005113FC"/>
    <w:rsid w:val="00532442"/>
    <w:rsid w:val="00532831"/>
    <w:rsid w:val="0053286C"/>
    <w:rsid w:val="005345CD"/>
    <w:rsid w:val="005413FC"/>
    <w:rsid w:val="005512F4"/>
    <w:rsid w:val="0055178F"/>
    <w:rsid w:val="005542FE"/>
    <w:rsid w:val="0055505F"/>
    <w:rsid w:val="00555569"/>
    <w:rsid w:val="00557A93"/>
    <w:rsid w:val="00557C9A"/>
    <w:rsid w:val="005712CE"/>
    <w:rsid w:val="00572D18"/>
    <w:rsid w:val="00573416"/>
    <w:rsid w:val="005828F3"/>
    <w:rsid w:val="00582C91"/>
    <w:rsid w:val="00584286"/>
    <w:rsid w:val="005907B2"/>
    <w:rsid w:val="00595190"/>
    <w:rsid w:val="00596A07"/>
    <w:rsid w:val="005A12A1"/>
    <w:rsid w:val="005A23C9"/>
    <w:rsid w:val="005B25AD"/>
    <w:rsid w:val="005B3B38"/>
    <w:rsid w:val="005B4548"/>
    <w:rsid w:val="005B78CD"/>
    <w:rsid w:val="005C1274"/>
    <w:rsid w:val="005C4663"/>
    <w:rsid w:val="005D1EA5"/>
    <w:rsid w:val="005F16E2"/>
    <w:rsid w:val="005F1842"/>
    <w:rsid w:val="00603D2E"/>
    <w:rsid w:val="006067A6"/>
    <w:rsid w:val="00606F71"/>
    <w:rsid w:val="006124D6"/>
    <w:rsid w:val="006179E5"/>
    <w:rsid w:val="006312E5"/>
    <w:rsid w:val="006314D9"/>
    <w:rsid w:val="00631913"/>
    <w:rsid w:val="0064305B"/>
    <w:rsid w:val="0065332E"/>
    <w:rsid w:val="00653BC3"/>
    <w:rsid w:val="00662530"/>
    <w:rsid w:val="0066349E"/>
    <w:rsid w:val="00674E5E"/>
    <w:rsid w:val="006855E1"/>
    <w:rsid w:val="006A1997"/>
    <w:rsid w:val="006B7966"/>
    <w:rsid w:val="006C0CE6"/>
    <w:rsid w:val="006C2E41"/>
    <w:rsid w:val="006D4149"/>
    <w:rsid w:val="006D47A0"/>
    <w:rsid w:val="006D7BAD"/>
    <w:rsid w:val="006E36AD"/>
    <w:rsid w:val="006E5E1C"/>
    <w:rsid w:val="006F5A6D"/>
    <w:rsid w:val="006F6605"/>
    <w:rsid w:val="0072118C"/>
    <w:rsid w:val="00723D69"/>
    <w:rsid w:val="00727B0A"/>
    <w:rsid w:val="0073368F"/>
    <w:rsid w:val="0074036F"/>
    <w:rsid w:val="0074753D"/>
    <w:rsid w:val="00750DC0"/>
    <w:rsid w:val="00753C55"/>
    <w:rsid w:val="007573AC"/>
    <w:rsid w:val="0076564F"/>
    <w:rsid w:val="0077280B"/>
    <w:rsid w:val="00774B56"/>
    <w:rsid w:val="007979AE"/>
    <w:rsid w:val="007A24B8"/>
    <w:rsid w:val="007A5F60"/>
    <w:rsid w:val="007B5885"/>
    <w:rsid w:val="007B5DF1"/>
    <w:rsid w:val="007B6B99"/>
    <w:rsid w:val="007C2013"/>
    <w:rsid w:val="007D0409"/>
    <w:rsid w:val="007D1F27"/>
    <w:rsid w:val="007E0179"/>
    <w:rsid w:val="007E2116"/>
    <w:rsid w:val="007E24A3"/>
    <w:rsid w:val="007E7D8D"/>
    <w:rsid w:val="007E7D95"/>
    <w:rsid w:val="0080212E"/>
    <w:rsid w:val="00803D0F"/>
    <w:rsid w:val="00805578"/>
    <w:rsid w:val="00806D40"/>
    <w:rsid w:val="00807D5A"/>
    <w:rsid w:val="008151A4"/>
    <w:rsid w:val="00820B25"/>
    <w:rsid w:val="00822C28"/>
    <w:rsid w:val="00830710"/>
    <w:rsid w:val="0083271C"/>
    <w:rsid w:val="00834D98"/>
    <w:rsid w:val="008404A0"/>
    <w:rsid w:val="00841AF8"/>
    <w:rsid w:val="0085076C"/>
    <w:rsid w:val="008519A3"/>
    <w:rsid w:val="00852593"/>
    <w:rsid w:val="008548E7"/>
    <w:rsid w:val="008572EB"/>
    <w:rsid w:val="00862BC2"/>
    <w:rsid w:val="00863B55"/>
    <w:rsid w:val="0087252D"/>
    <w:rsid w:val="0087396F"/>
    <w:rsid w:val="008754CC"/>
    <w:rsid w:val="008816A1"/>
    <w:rsid w:val="008819FE"/>
    <w:rsid w:val="008865B0"/>
    <w:rsid w:val="0089147D"/>
    <w:rsid w:val="008917ED"/>
    <w:rsid w:val="008952E5"/>
    <w:rsid w:val="008A5E26"/>
    <w:rsid w:val="008A69DC"/>
    <w:rsid w:val="008A7C01"/>
    <w:rsid w:val="008C1F42"/>
    <w:rsid w:val="008C4B92"/>
    <w:rsid w:val="008D0FE3"/>
    <w:rsid w:val="008E0264"/>
    <w:rsid w:val="008E2264"/>
    <w:rsid w:val="008E468E"/>
    <w:rsid w:val="008F0AF0"/>
    <w:rsid w:val="009018F5"/>
    <w:rsid w:val="00902FEA"/>
    <w:rsid w:val="00936C05"/>
    <w:rsid w:val="00943CA8"/>
    <w:rsid w:val="00952462"/>
    <w:rsid w:val="00955717"/>
    <w:rsid w:val="009566F6"/>
    <w:rsid w:val="009640B8"/>
    <w:rsid w:val="009655E7"/>
    <w:rsid w:val="0096705D"/>
    <w:rsid w:val="00967B43"/>
    <w:rsid w:val="009872AC"/>
    <w:rsid w:val="00987340"/>
    <w:rsid w:val="009925BE"/>
    <w:rsid w:val="00994D70"/>
    <w:rsid w:val="009C35E1"/>
    <w:rsid w:val="009C7863"/>
    <w:rsid w:val="009E026E"/>
    <w:rsid w:val="009E0787"/>
    <w:rsid w:val="009E0BD5"/>
    <w:rsid w:val="009E5045"/>
    <w:rsid w:val="009E6928"/>
    <w:rsid w:val="00A0172A"/>
    <w:rsid w:val="00A06D19"/>
    <w:rsid w:val="00A133BE"/>
    <w:rsid w:val="00A13E8A"/>
    <w:rsid w:val="00A168AD"/>
    <w:rsid w:val="00A213B6"/>
    <w:rsid w:val="00A30729"/>
    <w:rsid w:val="00A34451"/>
    <w:rsid w:val="00A36CBE"/>
    <w:rsid w:val="00A42E7E"/>
    <w:rsid w:val="00A4767E"/>
    <w:rsid w:val="00A56A54"/>
    <w:rsid w:val="00A56B79"/>
    <w:rsid w:val="00A66D41"/>
    <w:rsid w:val="00A71427"/>
    <w:rsid w:val="00A716C1"/>
    <w:rsid w:val="00A75EFD"/>
    <w:rsid w:val="00A82128"/>
    <w:rsid w:val="00A83DD8"/>
    <w:rsid w:val="00A86219"/>
    <w:rsid w:val="00A9788F"/>
    <w:rsid w:val="00AA4D65"/>
    <w:rsid w:val="00AB22F3"/>
    <w:rsid w:val="00AC1AE0"/>
    <w:rsid w:val="00AC431B"/>
    <w:rsid w:val="00AC5F7C"/>
    <w:rsid w:val="00AC7EB8"/>
    <w:rsid w:val="00AD05E3"/>
    <w:rsid w:val="00AE0AA8"/>
    <w:rsid w:val="00AE19BE"/>
    <w:rsid w:val="00AF4A5D"/>
    <w:rsid w:val="00AF4AAF"/>
    <w:rsid w:val="00B176B9"/>
    <w:rsid w:val="00B242CE"/>
    <w:rsid w:val="00B3392A"/>
    <w:rsid w:val="00B344A0"/>
    <w:rsid w:val="00B379C1"/>
    <w:rsid w:val="00B4071D"/>
    <w:rsid w:val="00B42E82"/>
    <w:rsid w:val="00B4523E"/>
    <w:rsid w:val="00B479CE"/>
    <w:rsid w:val="00B53F64"/>
    <w:rsid w:val="00B55FEC"/>
    <w:rsid w:val="00B6244B"/>
    <w:rsid w:val="00B62F45"/>
    <w:rsid w:val="00B66177"/>
    <w:rsid w:val="00B734AC"/>
    <w:rsid w:val="00B77153"/>
    <w:rsid w:val="00B82FB2"/>
    <w:rsid w:val="00B8575F"/>
    <w:rsid w:val="00B91743"/>
    <w:rsid w:val="00B92DDC"/>
    <w:rsid w:val="00B9720A"/>
    <w:rsid w:val="00BA6EBE"/>
    <w:rsid w:val="00BB03F3"/>
    <w:rsid w:val="00BB157B"/>
    <w:rsid w:val="00BB29B3"/>
    <w:rsid w:val="00BC1633"/>
    <w:rsid w:val="00BD4C4B"/>
    <w:rsid w:val="00BD69FE"/>
    <w:rsid w:val="00BE162C"/>
    <w:rsid w:val="00BE1B1F"/>
    <w:rsid w:val="00BE32AC"/>
    <w:rsid w:val="00BF0B15"/>
    <w:rsid w:val="00BF127B"/>
    <w:rsid w:val="00BF384B"/>
    <w:rsid w:val="00BF41D0"/>
    <w:rsid w:val="00C04F76"/>
    <w:rsid w:val="00C065D3"/>
    <w:rsid w:val="00C06875"/>
    <w:rsid w:val="00C10D1E"/>
    <w:rsid w:val="00C115E0"/>
    <w:rsid w:val="00C152E6"/>
    <w:rsid w:val="00C159E0"/>
    <w:rsid w:val="00C15E53"/>
    <w:rsid w:val="00C21AA2"/>
    <w:rsid w:val="00C22647"/>
    <w:rsid w:val="00C2477C"/>
    <w:rsid w:val="00C24D8E"/>
    <w:rsid w:val="00C25D00"/>
    <w:rsid w:val="00C33B2C"/>
    <w:rsid w:val="00C36C8F"/>
    <w:rsid w:val="00C50D3F"/>
    <w:rsid w:val="00C60DD5"/>
    <w:rsid w:val="00C7632B"/>
    <w:rsid w:val="00C91714"/>
    <w:rsid w:val="00C91A29"/>
    <w:rsid w:val="00C9209A"/>
    <w:rsid w:val="00C9274C"/>
    <w:rsid w:val="00CA3B80"/>
    <w:rsid w:val="00CB1D79"/>
    <w:rsid w:val="00CB2D04"/>
    <w:rsid w:val="00CC1573"/>
    <w:rsid w:val="00CC2211"/>
    <w:rsid w:val="00CC6162"/>
    <w:rsid w:val="00CD1CF3"/>
    <w:rsid w:val="00CD680B"/>
    <w:rsid w:val="00CE08D9"/>
    <w:rsid w:val="00CE0A52"/>
    <w:rsid w:val="00CE0A7B"/>
    <w:rsid w:val="00CE1F6B"/>
    <w:rsid w:val="00CE2BF9"/>
    <w:rsid w:val="00CE49C8"/>
    <w:rsid w:val="00CF06F8"/>
    <w:rsid w:val="00CF267F"/>
    <w:rsid w:val="00D023FB"/>
    <w:rsid w:val="00D252CF"/>
    <w:rsid w:val="00D27231"/>
    <w:rsid w:val="00D471FE"/>
    <w:rsid w:val="00D56028"/>
    <w:rsid w:val="00D5656A"/>
    <w:rsid w:val="00D56669"/>
    <w:rsid w:val="00D57337"/>
    <w:rsid w:val="00D57F7A"/>
    <w:rsid w:val="00D61E48"/>
    <w:rsid w:val="00D70156"/>
    <w:rsid w:val="00D75CF0"/>
    <w:rsid w:val="00D76A8D"/>
    <w:rsid w:val="00D81A5E"/>
    <w:rsid w:val="00D86ECB"/>
    <w:rsid w:val="00D968AE"/>
    <w:rsid w:val="00DA23B9"/>
    <w:rsid w:val="00DA4292"/>
    <w:rsid w:val="00DB286E"/>
    <w:rsid w:val="00DB3467"/>
    <w:rsid w:val="00DC0951"/>
    <w:rsid w:val="00DC6989"/>
    <w:rsid w:val="00DC6C0F"/>
    <w:rsid w:val="00DD11C1"/>
    <w:rsid w:val="00DD247F"/>
    <w:rsid w:val="00DD51BC"/>
    <w:rsid w:val="00DE5A5A"/>
    <w:rsid w:val="00DE6412"/>
    <w:rsid w:val="00DF300B"/>
    <w:rsid w:val="00E006F1"/>
    <w:rsid w:val="00E012A5"/>
    <w:rsid w:val="00E01469"/>
    <w:rsid w:val="00E02378"/>
    <w:rsid w:val="00E05DED"/>
    <w:rsid w:val="00E065B0"/>
    <w:rsid w:val="00E14576"/>
    <w:rsid w:val="00E17B64"/>
    <w:rsid w:val="00E17FAB"/>
    <w:rsid w:val="00E20E38"/>
    <w:rsid w:val="00E34E28"/>
    <w:rsid w:val="00E3547F"/>
    <w:rsid w:val="00E43775"/>
    <w:rsid w:val="00E454F9"/>
    <w:rsid w:val="00E61F6B"/>
    <w:rsid w:val="00E861F1"/>
    <w:rsid w:val="00E9086D"/>
    <w:rsid w:val="00E93AF1"/>
    <w:rsid w:val="00E94FBF"/>
    <w:rsid w:val="00EA169A"/>
    <w:rsid w:val="00EB56C8"/>
    <w:rsid w:val="00EC1473"/>
    <w:rsid w:val="00EC58E7"/>
    <w:rsid w:val="00ED4039"/>
    <w:rsid w:val="00ED4964"/>
    <w:rsid w:val="00ED64D6"/>
    <w:rsid w:val="00ED7A27"/>
    <w:rsid w:val="00EE19E7"/>
    <w:rsid w:val="00EE1D02"/>
    <w:rsid w:val="00EE4C1D"/>
    <w:rsid w:val="00F1166E"/>
    <w:rsid w:val="00F11E24"/>
    <w:rsid w:val="00F21DD4"/>
    <w:rsid w:val="00F240AA"/>
    <w:rsid w:val="00F320B6"/>
    <w:rsid w:val="00F35E7B"/>
    <w:rsid w:val="00F40F5D"/>
    <w:rsid w:val="00F41496"/>
    <w:rsid w:val="00F4463D"/>
    <w:rsid w:val="00F45CD5"/>
    <w:rsid w:val="00F4741F"/>
    <w:rsid w:val="00F50E13"/>
    <w:rsid w:val="00F5270B"/>
    <w:rsid w:val="00F62005"/>
    <w:rsid w:val="00F63040"/>
    <w:rsid w:val="00F678D4"/>
    <w:rsid w:val="00F70133"/>
    <w:rsid w:val="00F813E8"/>
    <w:rsid w:val="00F840D1"/>
    <w:rsid w:val="00F91AD3"/>
    <w:rsid w:val="00FA6D59"/>
    <w:rsid w:val="00FC130A"/>
    <w:rsid w:val="00FC1AFA"/>
    <w:rsid w:val="00FC1ECF"/>
    <w:rsid w:val="00FE060E"/>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5742BC59"/>
  <w15:docId w15:val="{BEEB5B0E-27AD-4E43-9085-4D73F518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link w:val="BodyTextChar"/>
    <w:uiPriority w:val="99"/>
    <w:qFormat/>
    <w:rPr>
      <w:bCs/>
      <w:iCs/>
    </w:rPr>
  </w:style>
  <w:style w:type="character" w:styleId="PageNumber">
    <w:name w:val="page number"/>
    <w:basedOn w:val="DefaultParagraphFont"/>
  </w:style>
  <w:style w:type="paragraph" w:customStyle="1" w:styleId="BodyText1">
    <w:name w:val="Body Text1"/>
    <w:basedOn w:val="Normal"/>
  </w:style>
  <w:style w:type="character" w:styleId="Hyperlink">
    <w:name w:val="Hyperlink"/>
    <w:rsid w:val="00E02378"/>
    <w:rPr>
      <w:color w:val="0000FF"/>
      <w:u w:val="single"/>
    </w:rPr>
  </w:style>
  <w:style w:type="paragraph" w:customStyle="1" w:styleId="Default">
    <w:name w:val="Default"/>
    <w:rsid w:val="00902FEA"/>
    <w:pPr>
      <w:autoSpaceDE w:val="0"/>
      <w:autoSpaceDN w:val="0"/>
      <w:adjustRightInd w:val="0"/>
    </w:pPr>
    <w:rPr>
      <w:rFonts w:eastAsia="Calibri"/>
      <w:color w:val="000000"/>
      <w:sz w:val="24"/>
      <w:szCs w:val="24"/>
    </w:rPr>
  </w:style>
  <w:style w:type="paragraph" w:styleId="BalloonText">
    <w:name w:val="Balloon Text"/>
    <w:basedOn w:val="Normal"/>
    <w:link w:val="BalloonTextChar"/>
    <w:semiHidden/>
    <w:unhideWhenUsed/>
    <w:rsid w:val="009E6928"/>
    <w:rPr>
      <w:rFonts w:ascii="Segoe UI" w:hAnsi="Segoe UI" w:cs="Segoe UI"/>
      <w:sz w:val="18"/>
      <w:szCs w:val="18"/>
    </w:rPr>
  </w:style>
  <w:style w:type="character" w:customStyle="1" w:styleId="BalloonTextChar">
    <w:name w:val="Balloon Text Char"/>
    <w:basedOn w:val="DefaultParagraphFont"/>
    <w:link w:val="BalloonText"/>
    <w:semiHidden/>
    <w:rsid w:val="009E6928"/>
    <w:rPr>
      <w:rFonts w:ascii="Segoe UI" w:hAnsi="Segoe UI" w:cs="Segoe UI"/>
      <w:sz w:val="18"/>
      <w:szCs w:val="18"/>
    </w:rPr>
  </w:style>
  <w:style w:type="character" w:styleId="CommentReference">
    <w:name w:val="annotation reference"/>
    <w:basedOn w:val="DefaultParagraphFont"/>
    <w:semiHidden/>
    <w:unhideWhenUsed/>
    <w:rsid w:val="00E20E38"/>
    <w:rPr>
      <w:sz w:val="16"/>
      <w:szCs w:val="16"/>
    </w:rPr>
  </w:style>
  <w:style w:type="paragraph" w:styleId="CommentText">
    <w:name w:val="annotation text"/>
    <w:basedOn w:val="Normal"/>
    <w:link w:val="CommentTextChar"/>
    <w:semiHidden/>
    <w:unhideWhenUsed/>
    <w:rsid w:val="00E20E38"/>
    <w:rPr>
      <w:sz w:val="20"/>
    </w:rPr>
  </w:style>
  <w:style w:type="character" w:customStyle="1" w:styleId="CommentTextChar">
    <w:name w:val="Comment Text Char"/>
    <w:basedOn w:val="DefaultParagraphFont"/>
    <w:link w:val="CommentText"/>
    <w:semiHidden/>
    <w:rsid w:val="00E20E38"/>
  </w:style>
  <w:style w:type="paragraph" w:styleId="CommentSubject">
    <w:name w:val="annotation subject"/>
    <w:basedOn w:val="CommentText"/>
    <w:next w:val="CommentText"/>
    <w:link w:val="CommentSubjectChar"/>
    <w:semiHidden/>
    <w:unhideWhenUsed/>
    <w:rsid w:val="00E20E38"/>
    <w:rPr>
      <w:b/>
      <w:bCs/>
    </w:rPr>
  </w:style>
  <w:style w:type="character" w:customStyle="1" w:styleId="CommentSubjectChar">
    <w:name w:val="Comment Subject Char"/>
    <w:basedOn w:val="CommentTextChar"/>
    <w:link w:val="CommentSubject"/>
    <w:semiHidden/>
    <w:rsid w:val="00E20E38"/>
    <w:rPr>
      <w:b/>
      <w:bCs/>
    </w:rPr>
  </w:style>
  <w:style w:type="character" w:customStyle="1" w:styleId="UnresolvedMention1">
    <w:name w:val="Unresolved Mention1"/>
    <w:basedOn w:val="DefaultParagraphFont"/>
    <w:uiPriority w:val="99"/>
    <w:semiHidden/>
    <w:unhideWhenUsed/>
    <w:rsid w:val="00CE08D9"/>
    <w:rPr>
      <w:color w:val="605E5C"/>
      <w:shd w:val="clear" w:color="auto" w:fill="E1DFDD"/>
    </w:rPr>
  </w:style>
  <w:style w:type="paragraph" w:styleId="ListParagraph">
    <w:name w:val="List Paragraph"/>
    <w:basedOn w:val="Normal"/>
    <w:uiPriority w:val="34"/>
    <w:qFormat/>
    <w:rsid w:val="004B2DF6"/>
    <w:pPr>
      <w:ind w:left="720"/>
      <w:contextualSpacing/>
    </w:pPr>
  </w:style>
  <w:style w:type="character" w:styleId="FootnoteReference">
    <w:name w:val="footnote reference"/>
    <w:basedOn w:val="DefaultParagraphFont"/>
    <w:uiPriority w:val="99"/>
    <w:semiHidden/>
    <w:unhideWhenUsed/>
    <w:rsid w:val="00AC1AE0"/>
    <w:rPr>
      <w:vertAlign w:val="superscript"/>
    </w:rPr>
  </w:style>
  <w:style w:type="character" w:customStyle="1" w:styleId="BodyTextChar">
    <w:name w:val="Body Text Char"/>
    <w:basedOn w:val="DefaultParagraphFont"/>
    <w:link w:val="BodyText"/>
    <w:uiPriority w:val="99"/>
    <w:rsid w:val="007A24B8"/>
    <w:rPr>
      <w:bCs/>
      <w:iCs/>
      <w:sz w:val="24"/>
    </w:rPr>
  </w:style>
  <w:style w:type="paragraph" w:styleId="Revision">
    <w:name w:val="Revision"/>
    <w:hidden/>
    <w:uiPriority w:val="99"/>
    <w:semiHidden/>
    <w:rsid w:val="0049520D"/>
    <w:rPr>
      <w:sz w:val="24"/>
    </w:rPr>
  </w:style>
  <w:style w:type="character" w:customStyle="1" w:styleId="UnresolvedMention2">
    <w:name w:val="Unresolved Mention2"/>
    <w:basedOn w:val="DefaultParagraphFont"/>
    <w:uiPriority w:val="99"/>
    <w:semiHidden/>
    <w:unhideWhenUsed/>
    <w:rsid w:val="000C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5796">
      <w:bodyDiv w:val="1"/>
      <w:marLeft w:val="0"/>
      <w:marRight w:val="0"/>
      <w:marTop w:val="0"/>
      <w:marBottom w:val="0"/>
      <w:divBdr>
        <w:top w:val="none" w:sz="0" w:space="0" w:color="auto"/>
        <w:left w:val="none" w:sz="0" w:space="0" w:color="auto"/>
        <w:bottom w:val="none" w:sz="0" w:space="0" w:color="auto"/>
        <w:right w:val="none" w:sz="0" w:space="0" w:color="auto"/>
      </w:divBdr>
      <w:divsChild>
        <w:div w:id="1490750455">
          <w:marLeft w:val="547"/>
          <w:marRight w:val="0"/>
          <w:marTop w:val="106"/>
          <w:marBottom w:val="360"/>
          <w:divBdr>
            <w:top w:val="none" w:sz="0" w:space="0" w:color="auto"/>
            <w:left w:val="none" w:sz="0" w:space="0" w:color="auto"/>
            <w:bottom w:val="none" w:sz="0" w:space="0" w:color="auto"/>
            <w:right w:val="none" w:sz="0" w:space="0" w:color="auto"/>
          </w:divBdr>
        </w:div>
      </w:divsChild>
    </w:div>
    <w:div w:id="297734854">
      <w:bodyDiv w:val="1"/>
      <w:marLeft w:val="0"/>
      <w:marRight w:val="0"/>
      <w:marTop w:val="0"/>
      <w:marBottom w:val="0"/>
      <w:divBdr>
        <w:top w:val="none" w:sz="0" w:space="0" w:color="auto"/>
        <w:left w:val="none" w:sz="0" w:space="0" w:color="auto"/>
        <w:bottom w:val="none" w:sz="0" w:space="0" w:color="auto"/>
        <w:right w:val="none" w:sz="0" w:space="0" w:color="auto"/>
      </w:divBdr>
      <w:divsChild>
        <w:div w:id="182209268">
          <w:marLeft w:val="1166"/>
          <w:marRight w:val="0"/>
          <w:marTop w:val="106"/>
          <w:marBottom w:val="360"/>
          <w:divBdr>
            <w:top w:val="none" w:sz="0" w:space="0" w:color="auto"/>
            <w:left w:val="none" w:sz="0" w:space="0" w:color="auto"/>
            <w:bottom w:val="none" w:sz="0" w:space="0" w:color="auto"/>
            <w:right w:val="none" w:sz="0" w:space="0" w:color="auto"/>
          </w:divBdr>
        </w:div>
      </w:divsChild>
    </w:div>
    <w:div w:id="326594715">
      <w:bodyDiv w:val="1"/>
      <w:marLeft w:val="0"/>
      <w:marRight w:val="0"/>
      <w:marTop w:val="0"/>
      <w:marBottom w:val="0"/>
      <w:divBdr>
        <w:top w:val="none" w:sz="0" w:space="0" w:color="auto"/>
        <w:left w:val="none" w:sz="0" w:space="0" w:color="auto"/>
        <w:bottom w:val="none" w:sz="0" w:space="0" w:color="auto"/>
        <w:right w:val="none" w:sz="0" w:space="0" w:color="auto"/>
      </w:divBdr>
      <w:divsChild>
        <w:div w:id="1514146820">
          <w:marLeft w:val="547"/>
          <w:marRight w:val="0"/>
          <w:marTop w:val="0"/>
          <w:marBottom w:val="360"/>
          <w:divBdr>
            <w:top w:val="none" w:sz="0" w:space="0" w:color="auto"/>
            <w:left w:val="none" w:sz="0" w:space="0" w:color="auto"/>
            <w:bottom w:val="none" w:sz="0" w:space="0" w:color="auto"/>
            <w:right w:val="none" w:sz="0" w:space="0" w:color="auto"/>
          </w:divBdr>
        </w:div>
      </w:divsChild>
    </w:div>
    <w:div w:id="374281171">
      <w:bodyDiv w:val="1"/>
      <w:marLeft w:val="0"/>
      <w:marRight w:val="0"/>
      <w:marTop w:val="0"/>
      <w:marBottom w:val="0"/>
      <w:divBdr>
        <w:top w:val="none" w:sz="0" w:space="0" w:color="auto"/>
        <w:left w:val="none" w:sz="0" w:space="0" w:color="auto"/>
        <w:bottom w:val="none" w:sz="0" w:space="0" w:color="auto"/>
        <w:right w:val="none" w:sz="0" w:space="0" w:color="auto"/>
      </w:divBdr>
    </w:div>
    <w:div w:id="409928260">
      <w:bodyDiv w:val="1"/>
      <w:marLeft w:val="0"/>
      <w:marRight w:val="0"/>
      <w:marTop w:val="0"/>
      <w:marBottom w:val="0"/>
      <w:divBdr>
        <w:top w:val="none" w:sz="0" w:space="0" w:color="auto"/>
        <w:left w:val="none" w:sz="0" w:space="0" w:color="auto"/>
        <w:bottom w:val="none" w:sz="0" w:space="0" w:color="auto"/>
        <w:right w:val="none" w:sz="0" w:space="0" w:color="auto"/>
      </w:divBdr>
      <w:divsChild>
        <w:div w:id="649987483">
          <w:marLeft w:val="1166"/>
          <w:marRight w:val="0"/>
          <w:marTop w:val="106"/>
          <w:marBottom w:val="360"/>
          <w:divBdr>
            <w:top w:val="none" w:sz="0" w:space="0" w:color="auto"/>
            <w:left w:val="none" w:sz="0" w:space="0" w:color="auto"/>
            <w:bottom w:val="none" w:sz="0" w:space="0" w:color="auto"/>
            <w:right w:val="none" w:sz="0" w:space="0" w:color="auto"/>
          </w:divBdr>
        </w:div>
      </w:divsChild>
    </w:div>
    <w:div w:id="456989278">
      <w:bodyDiv w:val="1"/>
      <w:marLeft w:val="0"/>
      <w:marRight w:val="0"/>
      <w:marTop w:val="0"/>
      <w:marBottom w:val="0"/>
      <w:divBdr>
        <w:top w:val="none" w:sz="0" w:space="0" w:color="auto"/>
        <w:left w:val="none" w:sz="0" w:space="0" w:color="auto"/>
        <w:bottom w:val="none" w:sz="0" w:space="0" w:color="auto"/>
        <w:right w:val="none" w:sz="0" w:space="0" w:color="auto"/>
      </w:divBdr>
      <w:divsChild>
        <w:div w:id="1124814355">
          <w:marLeft w:val="547"/>
          <w:marRight w:val="0"/>
          <w:marTop w:val="115"/>
          <w:marBottom w:val="360"/>
          <w:divBdr>
            <w:top w:val="none" w:sz="0" w:space="0" w:color="auto"/>
            <w:left w:val="none" w:sz="0" w:space="0" w:color="auto"/>
            <w:bottom w:val="none" w:sz="0" w:space="0" w:color="auto"/>
            <w:right w:val="none" w:sz="0" w:space="0" w:color="auto"/>
          </w:divBdr>
        </w:div>
        <w:div w:id="1683897925">
          <w:marLeft w:val="547"/>
          <w:marRight w:val="0"/>
          <w:marTop w:val="115"/>
          <w:marBottom w:val="360"/>
          <w:divBdr>
            <w:top w:val="none" w:sz="0" w:space="0" w:color="auto"/>
            <w:left w:val="none" w:sz="0" w:space="0" w:color="auto"/>
            <w:bottom w:val="none" w:sz="0" w:space="0" w:color="auto"/>
            <w:right w:val="none" w:sz="0" w:space="0" w:color="auto"/>
          </w:divBdr>
        </w:div>
        <w:div w:id="1786582693">
          <w:marLeft w:val="547"/>
          <w:marRight w:val="0"/>
          <w:marTop w:val="115"/>
          <w:marBottom w:val="360"/>
          <w:divBdr>
            <w:top w:val="none" w:sz="0" w:space="0" w:color="auto"/>
            <w:left w:val="none" w:sz="0" w:space="0" w:color="auto"/>
            <w:bottom w:val="none" w:sz="0" w:space="0" w:color="auto"/>
            <w:right w:val="none" w:sz="0" w:space="0" w:color="auto"/>
          </w:divBdr>
        </w:div>
        <w:div w:id="2023703951">
          <w:marLeft w:val="547"/>
          <w:marRight w:val="0"/>
          <w:marTop w:val="115"/>
          <w:marBottom w:val="360"/>
          <w:divBdr>
            <w:top w:val="none" w:sz="0" w:space="0" w:color="auto"/>
            <w:left w:val="none" w:sz="0" w:space="0" w:color="auto"/>
            <w:bottom w:val="none" w:sz="0" w:space="0" w:color="auto"/>
            <w:right w:val="none" w:sz="0" w:space="0" w:color="auto"/>
          </w:divBdr>
        </w:div>
        <w:div w:id="133180256">
          <w:marLeft w:val="547"/>
          <w:marRight w:val="0"/>
          <w:marTop w:val="115"/>
          <w:marBottom w:val="360"/>
          <w:divBdr>
            <w:top w:val="none" w:sz="0" w:space="0" w:color="auto"/>
            <w:left w:val="none" w:sz="0" w:space="0" w:color="auto"/>
            <w:bottom w:val="none" w:sz="0" w:space="0" w:color="auto"/>
            <w:right w:val="none" w:sz="0" w:space="0" w:color="auto"/>
          </w:divBdr>
        </w:div>
        <w:div w:id="632561690">
          <w:marLeft w:val="547"/>
          <w:marRight w:val="0"/>
          <w:marTop w:val="115"/>
          <w:marBottom w:val="360"/>
          <w:divBdr>
            <w:top w:val="none" w:sz="0" w:space="0" w:color="auto"/>
            <w:left w:val="none" w:sz="0" w:space="0" w:color="auto"/>
            <w:bottom w:val="none" w:sz="0" w:space="0" w:color="auto"/>
            <w:right w:val="none" w:sz="0" w:space="0" w:color="auto"/>
          </w:divBdr>
        </w:div>
        <w:div w:id="1684552929">
          <w:marLeft w:val="547"/>
          <w:marRight w:val="0"/>
          <w:marTop w:val="115"/>
          <w:marBottom w:val="360"/>
          <w:divBdr>
            <w:top w:val="none" w:sz="0" w:space="0" w:color="auto"/>
            <w:left w:val="none" w:sz="0" w:space="0" w:color="auto"/>
            <w:bottom w:val="none" w:sz="0" w:space="0" w:color="auto"/>
            <w:right w:val="none" w:sz="0" w:space="0" w:color="auto"/>
          </w:divBdr>
        </w:div>
      </w:divsChild>
    </w:div>
    <w:div w:id="683171129">
      <w:bodyDiv w:val="1"/>
      <w:marLeft w:val="0"/>
      <w:marRight w:val="0"/>
      <w:marTop w:val="0"/>
      <w:marBottom w:val="0"/>
      <w:divBdr>
        <w:top w:val="none" w:sz="0" w:space="0" w:color="auto"/>
        <w:left w:val="none" w:sz="0" w:space="0" w:color="auto"/>
        <w:bottom w:val="none" w:sz="0" w:space="0" w:color="auto"/>
        <w:right w:val="none" w:sz="0" w:space="0" w:color="auto"/>
      </w:divBdr>
    </w:div>
    <w:div w:id="858349840">
      <w:bodyDiv w:val="1"/>
      <w:marLeft w:val="0"/>
      <w:marRight w:val="0"/>
      <w:marTop w:val="0"/>
      <w:marBottom w:val="0"/>
      <w:divBdr>
        <w:top w:val="none" w:sz="0" w:space="0" w:color="auto"/>
        <w:left w:val="none" w:sz="0" w:space="0" w:color="auto"/>
        <w:bottom w:val="none" w:sz="0" w:space="0" w:color="auto"/>
        <w:right w:val="none" w:sz="0" w:space="0" w:color="auto"/>
      </w:divBdr>
    </w:div>
    <w:div w:id="865365802">
      <w:bodyDiv w:val="1"/>
      <w:marLeft w:val="0"/>
      <w:marRight w:val="0"/>
      <w:marTop w:val="0"/>
      <w:marBottom w:val="0"/>
      <w:divBdr>
        <w:top w:val="none" w:sz="0" w:space="0" w:color="auto"/>
        <w:left w:val="none" w:sz="0" w:space="0" w:color="auto"/>
        <w:bottom w:val="none" w:sz="0" w:space="0" w:color="auto"/>
        <w:right w:val="none" w:sz="0" w:space="0" w:color="auto"/>
      </w:divBdr>
      <w:divsChild>
        <w:div w:id="1341086620">
          <w:marLeft w:val="547"/>
          <w:marRight w:val="0"/>
          <w:marTop w:val="0"/>
          <w:marBottom w:val="240"/>
          <w:divBdr>
            <w:top w:val="none" w:sz="0" w:space="0" w:color="auto"/>
            <w:left w:val="none" w:sz="0" w:space="0" w:color="auto"/>
            <w:bottom w:val="none" w:sz="0" w:space="0" w:color="auto"/>
            <w:right w:val="none" w:sz="0" w:space="0" w:color="auto"/>
          </w:divBdr>
        </w:div>
        <w:div w:id="1868562538">
          <w:marLeft w:val="1166"/>
          <w:marRight w:val="0"/>
          <w:marTop w:val="0"/>
          <w:marBottom w:val="240"/>
          <w:divBdr>
            <w:top w:val="none" w:sz="0" w:space="0" w:color="auto"/>
            <w:left w:val="none" w:sz="0" w:space="0" w:color="auto"/>
            <w:bottom w:val="none" w:sz="0" w:space="0" w:color="auto"/>
            <w:right w:val="none" w:sz="0" w:space="0" w:color="auto"/>
          </w:divBdr>
        </w:div>
        <w:div w:id="1101223989">
          <w:marLeft w:val="1166"/>
          <w:marRight w:val="0"/>
          <w:marTop w:val="0"/>
          <w:marBottom w:val="240"/>
          <w:divBdr>
            <w:top w:val="none" w:sz="0" w:space="0" w:color="auto"/>
            <w:left w:val="none" w:sz="0" w:space="0" w:color="auto"/>
            <w:bottom w:val="none" w:sz="0" w:space="0" w:color="auto"/>
            <w:right w:val="none" w:sz="0" w:space="0" w:color="auto"/>
          </w:divBdr>
        </w:div>
        <w:div w:id="1342196086">
          <w:marLeft w:val="1166"/>
          <w:marRight w:val="0"/>
          <w:marTop w:val="0"/>
          <w:marBottom w:val="240"/>
          <w:divBdr>
            <w:top w:val="none" w:sz="0" w:space="0" w:color="auto"/>
            <w:left w:val="none" w:sz="0" w:space="0" w:color="auto"/>
            <w:bottom w:val="none" w:sz="0" w:space="0" w:color="auto"/>
            <w:right w:val="none" w:sz="0" w:space="0" w:color="auto"/>
          </w:divBdr>
        </w:div>
        <w:div w:id="612901753">
          <w:marLeft w:val="1800"/>
          <w:marRight w:val="0"/>
          <w:marTop w:val="0"/>
          <w:marBottom w:val="240"/>
          <w:divBdr>
            <w:top w:val="none" w:sz="0" w:space="0" w:color="auto"/>
            <w:left w:val="none" w:sz="0" w:space="0" w:color="auto"/>
            <w:bottom w:val="none" w:sz="0" w:space="0" w:color="auto"/>
            <w:right w:val="none" w:sz="0" w:space="0" w:color="auto"/>
          </w:divBdr>
        </w:div>
        <w:div w:id="1655526618">
          <w:marLeft w:val="2520"/>
          <w:marRight w:val="0"/>
          <w:marTop w:val="0"/>
          <w:marBottom w:val="240"/>
          <w:divBdr>
            <w:top w:val="none" w:sz="0" w:space="0" w:color="auto"/>
            <w:left w:val="none" w:sz="0" w:space="0" w:color="auto"/>
            <w:bottom w:val="none" w:sz="0" w:space="0" w:color="auto"/>
            <w:right w:val="none" w:sz="0" w:space="0" w:color="auto"/>
          </w:divBdr>
        </w:div>
        <w:div w:id="526918514">
          <w:marLeft w:val="547"/>
          <w:marRight w:val="0"/>
          <w:marTop w:val="0"/>
          <w:marBottom w:val="240"/>
          <w:divBdr>
            <w:top w:val="none" w:sz="0" w:space="0" w:color="auto"/>
            <w:left w:val="none" w:sz="0" w:space="0" w:color="auto"/>
            <w:bottom w:val="none" w:sz="0" w:space="0" w:color="auto"/>
            <w:right w:val="none" w:sz="0" w:space="0" w:color="auto"/>
          </w:divBdr>
        </w:div>
        <w:div w:id="1729264396">
          <w:marLeft w:val="547"/>
          <w:marRight w:val="0"/>
          <w:marTop w:val="0"/>
          <w:marBottom w:val="240"/>
          <w:divBdr>
            <w:top w:val="none" w:sz="0" w:space="0" w:color="auto"/>
            <w:left w:val="none" w:sz="0" w:space="0" w:color="auto"/>
            <w:bottom w:val="none" w:sz="0" w:space="0" w:color="auto"/>
            <w:right w:val="none" w:sz="0" w:space="0" w:color="auto"/>
          </w:divBdr>
        </w:div>
      </w:divsChild>
    </w:div>
    <w:div w:id="1061755811">
      <w:bodyDiv w:val="1"/>
      <w:marLeft w:val="0"/>
      <w:marRight w:val="0"/>
      <w:marTop w:val="0"/>
      <w:marBottom w:val="0"/>
      <w:divBdr>
        <w:top w:val="none" w:sz="0" w:space="0" w:color="auto"/>
        <w:left w:val="none" w:sz="0" w:space="0" w:color="auto"/>
        <w:bottom w:val="none" w:sz="0" w:space="0" w:color="auto"/>
        <w:right w:val="none" w:sz="0" w:space="0" w:color="auto"/>
      </w:divBdr>
    </w:div>
    <w:div w:id="1143473529">
      <w:bodyDiv w:val="1"/>
      <w:marLeft w:val="0"/>
      <w:marRight w:val="0"/>
      <w:marTop w:val="0"/>
      <w:marBottom w:val="0"/>
      <w:divBdr>
        <w:top w:val="none" w:sz="0" w:space="0" w:color="auto"/>
        <w:left w:val="none" w:sz="0" w:space="0" w:color="auto"/>
        <w:bottom w:val="none" w:sz="0" w:space="0" w:color="auto"/>
        <w:right w:val="none" w:sz="0" w:space="0" w:color="auto"/>
      </w:divBdr>
      <w:divsChild>
        <w:div w:id="200214333">
          <w:marLeft w:val="1166"/>
          <w:marRight w:val="0"/>
          <w:marTop w:val="0"/>
          <w:marBottom w:val="240"/>
          <w:divBdr>
            <w:top w:val="none" w:sz="0" w:space="0" w:color="auto"/>
            <w:left w:val="none" w:sz="0" w:space="0" w:color="auto"/>
            <w:bottom w:val="none" w:sz="0" w:space="0" w:color="auto"/>
            <w:right w:val="none" w:sz="0" w:space="0" w:color="auto"/>
          </w:divBdr>
        </w:div>
        <w:div w:id="1840924288">
          <w:marLeft w:val="1166"/>
          <w:marRight w:val="0"/>
          <w:marTop w:val="0"/>
          <w:marBottom w:val="240"/>
          <w:divBdr>
            <w:top w:val="none" w:sz="0" w:space="0" w:color="auto"/>
            <w:left w:val="none" w:sz="0" w:space="0" w:color="auto"/>
            <w:bottom w:val="none" w:sz="0" w:space="0" w:color="auto"/>
            <w:right w:val="none" w:sz="0" w:space="0" w:color="auto"/>
          </w:divBdr>
        </w:div>
      </w:divsChild>
    </w:div>
    <w:div w:id="1340740259">
      <w:bodyDiv w:val="1"/>
      <w:marLeft w:val="0"/>
      <w:marRight w:val="0"/>
      <w:marTop w:val="0"/>
      <w:marBottom w:val="0"/>
      <w:divBdr>
        <w:top w:val="none" w:sz="0" w:space="0" w:color="auto"/>
        <w:left w:val="none" w:sz="0" w:space="0" w:color="auto"/>
        <w:bottom w:val="none" w:sz="0" w:space="0" w:color="auto"/>
        <w:right w:val="none" w:sz="0" w:space="0" w:color="auto"/>
      </w:divBdr>
      <w:divsChild>
        <w:div w:id="1500731895">
          <w:marLeft w:val="547"/>
          <w:marRight w:val="0"/>
          <w:marTop w:val="115"/>
          <w:marBottom w:val="360"/>
          <w:divBdr>
            <w:top w:val="none" w:sz="0" w:space="0" w:color="auto"/>
            <w:left w:val="none" w:sz="0" w:space="0" w:color="auto"/>
            <w:bottom w:val="none" w:sz="0" w:space="0" w:color="auto"/>
            <w:right w:val="none" w:sz="0" w:space="0" w:color="auto"/>
          </w:divBdr>
        </w:div>
        <w:div w:id="787428548">
          <w:marLeft w:val="1166"/>
          <w:marRight w:val="0"/>
          <w:marTop w:val="115"/>
          <w:marBottom w:val="360"/>
          <w:divBdr>
            <w:top w:val="none" w:sz="0" w:space="0" w:color="auto"/>
            <w:left w:val="none" w:sz="0" w:space="0" w:color="auto"/>
            <w:bottom w:val="none" w:sz="0" w:space="0" w:color="auto"/>
            <w:right w:val="none" w:sz="0" w:space="0" w:color="auto"/>
          </w:divBdr>
        </w:div>
      </w:divsChild>
    </w:div>
    <w:div w:id="1348405760">
      <w:bodyDiv w:val="1"/>
      <w:marLeft w:val="0"/>
      <w:marRight w:val="0"/>
      <w:marTop w:val="0"/>
      <w:marBottom w:val="0"/>
      <w:divBdr>
        <w:top w:val="none" w:sz="0" w:space="0" w:color="auto"/>
        <w:left w:val="none" w:sz="0" w:space="0" w:color="auto"/>
        <w:bottom w:val="none" w:sz="0" w:space="0" w:color="auto"/>
        <w:right w:val="none" w:sz="0" w:space="0" w:color="auto"/>
      </w:divBdr>
      <w:divsChild>
        <w:div w:id="1218787035">
          <w:marLeft w:val="547"/>
          <w:marRight w:val="0"/>
          <w:marTop w:val="106"/>
          <w:marBottom w:val="360"/>
          <w:divBdr>
            <w:top w:val="none" w:sz="0" w:space="0" w:color="auto"/>
            <w:left w:val="none" w:sz="0" w:space="0" w:color="auto"/>
            <w:bottom w:val="none" w:sz="0" w:space="0" w:color="auto"/>
            <w:right w:val="none" w:sz="0" w:space="0" w:color="auto"/>
          </w:divBdr>
        </w:div>
        <w:div w:id="1423913760">
          <w:marLeft w:val="1166"/>
          <w:marRight w:val="0"/>
          <w:marTop w:val="106"/>
          <w:marBottom w:val="360"/>
          <w:divBdr>
            <w:top w:val="none" w:sz="0" w:space="0" w:color="auto"/>
            <w:left w:val="none" w:sz="0" w:space="0" w:color="auto"/>
            <w:bottom w:val="none" w:sz="0" w:space="0" w:color="auto"/>
            <w:right w:val="none" w:sz="0" w:space="0" w:color="auto"/>
          </w:divBdr>
        </w:div>
        <w:div w:id="1590503485">
          <w:marLeft w:val="1166"/>
          <w:marRight w:val="0"/>
          <w:marTop w:val="106"/>
          <w:marBottom w:val="360"/>
          <w:divBdr>
            <w:top w:val="none" w:sz="0" w:space="0" w:color="auto"/>
            <w:left w:val="none" w:sz="0" w:space="0" w:color="auto"/>
            <w:bottom w:val="none" w:sz="0" w:space="0" w:color="auto"/>
            <w:right w:val="none" w:sz="0" w:space="0" w:color="auto"/>
          </w:divBdr>
        </w:div>
      </w:divsChild>
    </w:div>
    <w:div w:id="1356031559">
      <w:bodyDiv w:val="1"/>
      <w:marLeft w:val="0"/>
      <w:marRight w:val="0"/>
      <w:marTop w:val="0"/>
      <w:marBottom w:val="0"/>
      <w:divBdr>
        <w:top w:val="none" w:sz="0" w:space="0" w:color="auto"/>
        <w:left w:val="none" w:sz="0" w:space="0" w:color="auto"/>
        <w:bottom w:val="none" w:sz="0" w:space="0" w:color="auto"/>
        <w:right w:val="none" w:sz="0" w:space="0" w:color="auto"/>
      </w:divBdr>
      <w:divsChild>
        <w:div w:id="820194047">
          <w:marLeft w:val="547"/>
          <w:marRight w:val="0"/>
          <w:marTop w:val="0"/>
          <w:marBottom w:val="360"/>
          <w:divBdr>
            <w:top w:val="none" w:sz="0" w:space="0" w:color="auto"/>
            <w:left w:val="none" w:sz="0" w:space="0" w:color="auto"/>
            <w:bottom w:val="none" w:sz="0" w:space="0" w:color="auto"/>
            <w:right w:val="none" w:sz="0" w:space="0" w:color="auto"/>
          </w:divBdr>
        </w:div>
        <w:div w:id="1778408026">
          <w:marLeft w:val="1166"/>
          <w:marRight w:val="0"/>
          <w:marTop w:val="0"/>
          <w:marBottom w:val="360"/>
          <w:divBdr>
            <w:top w:val="none" w:sz="0" w:space="0" w:color="auto"/>
            <w:left w:val="none" w:sz="0" w:space="0" w:color="auto"/>
            <w:bottom w:val="none" w:sz="0" w:space="0" w:color="auto"/>
            <w:right w:val="none" w:sz="0" w:space="0" w:color="auto"/>
          </w:divBdr>
        </w:div>
        <w:div w:id="864565016">
          <w:marLeft w:val="1166"/>
          <w:marRight w:val="0"/>
          <w:marTop w:val="0"/>
          <w:marBottom w:val="360"/>
          <w:divBdr>
            <w:top w:val="none" w:sz="0" w:space="0" w:color="auto"/>
            <w:left w:val="none" w:sz="0" w:space="0" w:color="auto"/>
            <w:bottom w:val="none" w:sz="0" w:space="0" w:color="auto"/>
            <w:right w:val="none" w:sz="0" w:space="0" w:color="auto"/>
          </w:divBdr>
        </w:div>
        <w:div w:id="1510171706">
          <w:marLeft w:val="1166"/>
          <w:marRight w:val="0"/>
          <w:marTop w:val="0"/>
          <w:marBottom w:val="360"/>
          <w:divBdr>
            <w:top w:val="none" w:sz="0" w:space="0" w:color="auto"/>
            <w:left w:val="none" w:sz="0" w:space="0" w:color="auto"/>
            <w:bottom w:val="none" w:sz="0" w:space="0" w:color="auto"/>
            <w:right w:val="none" w:sz="0" w:space="0" w:color="auto"/>
          </w:divBdr>
        </w:div>
        <w:div w:id="1704673106">
          <w:marLeft w:val="1166"/>
          <w:marRight w:val="0"/>
          <w:marTop w:val="0"/>
          <w:marBottom w:val="360"/>
          <w:divBdr>
            <w:top w:val="none" w:sz="0" w:space="0" w:color="auto"/>
            <w:left w:val="none" w:sz="0" w:space="0" w:color="auto"/>
            <w:bottom w:val="none" w:sz="0" w:space="0" w:color="auto"/>
            <w:right w:val="none" w:sz="0" w:space="0" w:color="auto"/>
          </w:divBdr>
        </w:div>
      </w:divsChild>
    </w:div>
    <w:div w:id="1651128535">
      <w:bodyDiv w:val="1"/>
      <w:marLeft w:val="0"/>
      <w:marRight w:val="0"/>
      <w:marTop w:val="0"/>
      <w:marBottom w:val="0"/>
      <w:divBdr>
        <w:top w:val="none" w:sz="0" w:space="0" w:color="auto"/>
        <w:left w:val="none" w:sz="0" w:space="0" w:color="auto"/>
        <w:bottom w:val="none" w:sz="0" w:space="0" w:color="auto"/>
        <w:right w:val="none" w:sz="0" w:space="0" w:color="auto"/>
      </w:divBdr>
      <w:divsChild>
        <w:div w:id="2021199365">
          <w:marLeft w:val="547"/>
          <w:marRight w:val="0"/>
          <w:marTop w:val="115"/>
          <w:marBottom w:val="360"/>
          <w:divBdr>
            <w:top w:val="none" w:sz="0" w:space="0" w:color="auto"/>
            <w:left w:val="none" w:sz="0" w:space="0" w:color="auto"/>
            <w:bottom w:val="none" w:sz="0" w:space="0" w:color="auto"/>
            <w:right w:val="none" w:sz="0" w:space="0" w:color="auto"/>
          </w:divBdr>
        </w:div>
        <w:div w:id="2008248978">
          <w:marLeft w:val="547"/>
          <w:marRight w:val="0"/>
          <w:marTop w:val="115"/>
          <w:marBottom w:val="360"/>
          <w:divBdr>
            <w:top w:val="none" w:sz="0" w:space="0" w:color="auto"/>
            <w:left w:val="none" w:sz="0" w:space="0" w:color="auto"/>
            <w:bottom w:val="none" w:sz="0" w:space="0" w:color="auto"/>
            <w:right w:val="none" w:sz="0" w:space="0" w:color="auto"/>
          </w:divBdr>
        </w:div>
        <w:div w:id="1809668228">
          <w:marLeft w:val="547"/>
          <w:marRight w:val="0"/>
          <w:marTop w:val="115"/>
          <w:marBottom w:val="360"/>
          <w:divBdr>
            <w:top w:val="none" w:sz="0" w:space="0" w:color="auto"/>
            <w:left w:val="none" w:sz="0" w:space="0" w:color="auto"/>
            <w:bottom w:val="none" w:sz="0" w:space="0" w:color="auto"/>
            <w:right w:val="none" w:sz="0" w:space="0" w:color="auto"/>
          </w:divBdr>
        </w:div>
        <w:div w:id="1961840847">
          <w:marLeft w:val="547"/>
          <w:marRight w:val="0"/>
          <w:marTop w:val="115"/>
          <w:marBottom w:val="360"/>
          <w:divBdr>
            <w:top w:val="none" w:sz="0" w:space="0" w:color="auto"/>
            <w:left w:val="none" w:sz="0" w:space="0" w:color="auto"/>
            <w:bottom w:val="none" w:sz="0" w:space="0" w:color="auto"/>
            <w:right w:val="none" w:sz="0" w:space="0" w:color="auto"/>
          </w:divBdr>
        </w:div>
        <w:div w:id="1300528797">
          <w:marLeft w:val="547"/>
          <w:marRight w:val="0"/>
          <w:marTop w:val="115"/>
          <w:marBottom w:val="360"/>
          <w:divBdr>
            <w:top w:val="none" w:sz="0" w:space="0" w:color="auto"/>
            <w:left w:val="none" w:sz="0" w:space="0" w:color="auto"/>
            <w:bottom w:val="none" w:sz="0" w:space="0" w:color="auto"/>
            <w:right w:val="none" w:sz="0" w:space="0" w:color="auto"/>
          </w:divBdr>
        </w:div>
        <w:div w:id="64692325">
          <w:marLeft w:val="547"/>
          <w:marRight w:val="0"/>
          <w:marTop w:val="115"/>
          <w:marBottom w:val="360"/>
          <w:divBdr>
            <w:top w:val="none" w:sz="0" w:space="0" w:color="auto"/>
            <w:left w:val="none" w:sz="0" w:space="0" w:color="auto"/>
            <w:bottom w:val="none" w:sz="0" w:space="0" w:color="auto"/>
            <w:right w:val="none" w:sz="0" w:space="0" w:color="auto"/>
          </w:divBdr>
        </w:div>
        <w:div w:id="790630427">
          <w:marLeft w:val="547"/>
          <w:marRight w:val="0"/>
          <w:marTop w:val="115"/>
          <w:marBottom w:val="360"/>
          <w:divBdr>
            <w:top w:val="none" w:sz="0" w:space="0" w:color="auto"/>
            <w:left w:val="none" w:sz="0" w:space="0" w:color="auto"/>
            <w:bottom w:val="none" w:sz="0" w:space="0" w:color="auto"/>
            <w:right w:val="none" w:sz="0" w:space="0" w:color="auto"/>
          </w:divBdr>
        </w:div>
      </w:divsChild>
    </w:div>
    <w:div w:id="1667320584">
      <w:bodyDiv w:val="1"/>
      <w:marLeft w:val="0"/>
      <w:marRight w:val="0"/>
      <w:marTop w:val="0"/>
      <w:marBottom w:val="0"/>
      <w:divBdr>
        <w:top w:val="none" w:sz="0" w:space="0" w:color="auto"/>
        <w:left w:val="none" w:sz="0" w:space="0" w:color="auto"/>
        <w:bottom w:val="none" w:sz="0" w:space="0" w:color="auto"/>
        <w:right w:val="none" w:sz="0" w:space="0" w:color="auto"/>
      </w:divBdr>
      <w:divsChild>
        <w:div w:id="1742216194">
          <w:marLeft w:val="547"/>
          <w:marRight w:val="0"/>
          <w:marTop w:val="115"/>
          <w:marBottom w:val="360"/>
          <w:divBdr>
            <w:top w:val="none" w:sz="0" w:space="0" w:color="auto"/>
            <w:left w:val="none" w:sz="0" w:space="0" w:color="auto"/>
            <w:bottom w:val="none" w:sz="0" w:space="0" w:color="auto"/>
            <w:right w:val="none" w:sz="0" w:space="0" w:color="auto"/>
          </w:divBdr>
        </w:div>
        <w:div w:id="236861079">
          <w:marLeft w:val="1166"/>
          <w:marRight w:val="0"/>
          <w:marTop w:val="115"/>
          <w:marBottom w:val="360"/>
          <w:divBdr>
            <w:top w:val="none" w:sz="0" w:space="0" w:color="auto"/>
            <w:left w:val="none" w:sz="0" w:space="0" w:color="auto"/>
            <w:bottom w:val="none" w:sz="0" w:space="0" w:color="auto"/>
            <w:right w:val="none" w:sz="0" w:space="0" w:color="auto"/>
          </w:divBdr>
        </w:div>
      </w:divsChild>
    </w:div>
    <w:div w:id="1833252532">
      <w:bodyDiv w:val="1"/>
      <w:marLeft w:val="0"/>
      <w:marRight w:val="0"/>
      <w:marTop w:val="0"/>
      <w:marBottom w:val="0"/>
      <w:divBdr>
        <w:top w:val="none" w:sz="0" w:space="0" w:color="auto"/>
        <w:left w:val="none" w:sz="0" w:space="0" w:color="auto"/>
        <w:bottom w:val="none" w:sz="0" w:space="0" w:color="auto"/>
        <w:right w:val="none" w:sz="0" w:space="0" w:color="auto"/>
      </w:divBdr>
      <w:divsChild>
        <w:div w:id="1586259649">
          <w:marLeft w:val="547"/>
          <w:marRight w:val="0"/>
          <w:marTop w:val="0"/>
          <w:marBottom w:val="360"/>
          <w:divBdr>
            <w:top w:val="none" w:sz="0" w:space="0" w:color="auto"/>
            <w:left w:val="none" w:sz="0" w:space="0" w:color="auto"/>
            <w:bottom w:val="none" w:sz="0" w:space="0" w:color="auto"/>
            <w:right w:val="none" w:sz="0" w:space="0" w:color="auto"/>
          </w:divBdr>
        </w:div>
        <w:div w:id="434835538">
          <w:marLeft w:val="1166"/>
          <w:marRight w:val="0"/>
          <w:marTop w:val="0"/>
          <w:marBottom w:val="360"/>
          <w:divBdr>
            <w:top w:val="none" w:sz="0" w:space="0" w:color="auto"/>
            <w:left w:val="none" w:sz="0" w:space="0" w:color="auto"/>
            <w:bottom w:val="none" w:sz="0" w:space="0" w:color="auto"/>
            <w:right w:val="none" w:sz="0" w:space="0" w:color="auto"/>
          </w:divBdr>
        </w:div>
        <w:div w:id="1045986751">
          <w:marLeft w:val="1166"/>
          <w:marRight w:val="0"/>
          <w:marTop w:val="0"/>
          <w:marBottom w:val="360"/>
          <w:divBdr>
            <w:top w:val="none" w:sz="0" w:space="0" w:color="auto"/>
            <w:left w:val="none" w:sz="0" w:space="0" w:color="auto"/>
            <w:bottom w:val="none" w:sz="0" w:space="0" w:color="auto"/>
            <w:right w:val="none" w:sz="0" w:space="0" w:color="auto"/>
          </w:divBdr>
        </w:div>
        <w:div w:id="430509477">
          <w:marLeft w:val="1166"/>
          <w:marRight w:val="0"/>
          <w:marTop w:val="0"/>
          <w:marBottom w:val="360"/>
          <w:divBdr>
            <w:top w:val="none" w:sz="0" w:space="0" w:color="auto"/>
            <w:left w:val="none" w:sz="0" w:space="0" w:color="auto"/>
            <w:bottom w:val="none" w:sz="0" w:space="0" w:color="auto"/>
            <w:right w:val="none" w:sz="0" w:space="0" w:color="auto"/>
          </w:divBdr>
        </w:div>
      </w:divsChild>
    </w:div>
    <w:div w:id="1924533430">
      <w:bodyDiv w:val="1"/>
      <w:marLeft w:val="0"/>
      <w:marRight w:val="0"/>
      <w:marTop w:val="0"/>
      <w:marBottom w:val="0"/>
      <w:divBdr>
        <w:top w:val="none" w:sz="0" w:space="0" w:color="auto"/>
        <w:left w:val="none" w:sz="0" w:space="0" w:color="auto"/>
        <w:bottom w:val="none" w:sz="0" w:space="0" w:color="auto"/>
        <w:right w:val="none" w:sz="0" w:space="0" w:color="auto"/>
      </w:divBdr>
      <w:divsChild>
        <w:div w:id="1239511988">
          <w:marLeft w:val="547"/>
          <w:marRight w:val="0"/>
          <w:marTop w:val="115"/>
          <w:marBottom w:val="360"/>
          <w:divBdr>
            <w:top w:val="none" w:sz="0" w:space="0" w:color="auto"/>
            <w:left w:val="none" w:sz="0" w:space="0" w:color="auto"/>
            <w:bottom w:val="none" w:sz="0" w:space="0" w:color="auto"/>
            <w:right w:val="none" w:sz="0" w:space="0" w:color="auto"/>
          </w:divBdr>
        </w:div>
        <w:div w:id="1521118786">
          <w:marLeft w:val="547"/>
          <w:marRight w:val="0"/>
          <w:marTop w:val="115"/>
          <w:marBottom w:val="360"/>
          <w:divBdr>
            <w:top w:val="none" w:sz="0" w:space="0" w:color="auto"/>
            <w:left w:val="none" w:sz="0" w:space="0" w:color="auto"/>
            <w:bottom w:val="none" w:sz="0" w:space="0" w:color="auto"/>
            <w:right w:val="none" w:sz="0" w:space="0" w:color="auto"/>
          </w:divBdr>
        </w:div>
        <w:div w:id="2009480316">
          <w:marLeft w:val="547"/>
          <w:marRight w:val="0"/>
          <w:marTop w:val="115"/>
          <w:marBottom w:val="360"/>
          <w:divBdr>
            <w:top w:val="none" w:sz="0" w:space="0" w:color="auto"/>
            <w:left w:val="none" w:sz="0" w:space="0" w:color="auto"/>
            <w:bottom w:val="none" w:sz="0" w:space="0" w:color="auto"/>
            <w:right w:val="none" w:sz="0" w:space="0" w:color="auto"/>
          </w:divBdr>
        </w:div>
        <w:div w:id="542138148">
          <w:marLeft w:val="547"/>
          <w:marRight w:val="0"/>
          <w:marTop w:val="115"/>
          <w:marBottom w:val="360"/>
          <w:divBdr>
            <w:top w:val="none" w:sz="0" w:space="0" w:color="auto"/>
            <w:left w:val="none" w:sz="0" w:space="0" w:color="auto"/>
            <w:bottom w:val="none" w:sz="0" w:space="0" w:color="auto"/>
            <w:right w:val="none" w:sz="0" w:space="0" w:color="auto"/>
          </w:divBdr>
        </w:div>
        <w:div w:id="1053772503">
          <w:marLeft w:val="547"/>
          <w:marRight w:val="0"/>
          <w:marTop w:val="115"/>
          <w:marBottom w:val="360"/>
          <w:divBdr>
            <w:top w:val="none" w:sz="0" w:space="0" w:color="auto"/>
            <w:left w:val="none" w:sz="0" w:space="0" w:color="auto"/>
            <w:bottom w:val="none" w:sz="0" w:space="0" w:color="auto"/>
            <w:right w:val="none" w:sz="0" w:space="0" w:color="auto"/>
          </w:divBdr>
        </w:div>
        <w:div w:id="1330057434">
          <w:marLeft w:val="547"/>
          <w:marRight w:val="0"/>
          <w:marTop w:val="115"/>
          <w:marBottom w:val="360"/>
          <w:divBdr>
            <w:top w:val="none" w:sz="0" w:space="0" w:color="auto"/>
            <w:left w:val="none" w:sz="0" w:space="0" w:color="auto"/>
            <w:bottom w:val="none" w:sz="0" w:space="0" w:color="auto"/>
            <w:right w:val="none" w:sz="0" w:space="0" w:color="auto"/>
          </w:divBdr>
        </w:div>
        <w:div w:id="166018989">
          <w:marLeft w:val="547"/>
          <w:marRight w:val="0"/>
          <w:marTop w:val="115"/>
          <w:marBottom w:val="360"/>
          <w:divBdr>
            <w:top w:val="none" w:sz="0" w:space="0" w:color="auto"/>
            <w:left w:val="none" w:sz="0" w:space="0" w:color="auto"/>
            <w:bottom w:val="none" w:sz="0" w:space="0" w:color="auto"/>
            <w:right w:val="none" w:sz="0" w:space="0" w:color="auto"/>
          </w:divBdr>
        </w:div>
      </w:divsChild>
    </w:div>
    <w:div w:id="1959985891">
      <w:bodyDiv w:val="1"/>
      <w:marLeft w:val="0"/>
      <w:marRight w:val="0"/>
      <w:marTop w:val="0"/>
      <w:marBottom w:val="0"/>
      <w:divBdr>
        <w:top w:val="none" w:sz="0" w:space="0" w:color="auto"/>
        <w:left w:val="none" w:sz="0" w:space="0" w:color="auto"/>
        <w:bottom w:val="none" w:sz="0" w:space="0" w:color="auto"/>
        <w:right w:val="none" w:sz="0" w:space="0" w:color="auto"/>
      </w:divBdr>
      <w:divsChild>
        <w:div w:id="1264613346">
          <w:marLeft w:val="547"/>
          <w:marRight w:val="0"/>
          <w:marTop w:val="0"/>
          <w:marBottom w:val="280"/>
          <w:divBdr>
            <w:top w:val="none" w:sz="0" w:space="0" w:color="auto"/>
            <w:left w:val="none" w:sz="0" w:space="0" w:color="auto"/>
            <w:bottom w:val="none" w:sz="0" w:space="0" w:color="auto"/>
            <w:right w:val="none" w:sz="0" w:space="0" w:color="auto"/>
          </w:divBdr>
        </w:div>
        <w:div w:id="1780755126">
          <w:marLeft w:val="1166"/>
          <w:marRight w:val="0"/>
          <w:marTop w:val="0"/>
          <w:marBottom w:val="280"/>
          <w:divBdr>
            <w:top w:val="none" w:sz="0" w:space="0" w:color="auto"/>
            <w:left w:val="none" w:sz="0" w:space="0" w:color="auto"/>
            <w:bottom w:val="none" w:sz="0" w:space="0" w:color="auto"/>
            <w:right w:val="none" w:sz="0" w:space="0" w:color="auto"/>
          </w:divBdr>
        </w:div>
        <w:div w:id="1967464295">
          <w:marLeft w:val="1166"/>
          <w:marRight w:val="0"/>
          <w:marTop w:val="0"/>
          <w:marBottom w:val="280"/>
          <w:divBdr>
            <w:top w:val="none" w:sz="0" w:space="0" w:color="auto"/>
            <w:left w:val="none" w:sz="0" w:space="0" w:color="auto"/>
            <w:bottom w:val="none" w:sz="0" w:space="0" w:color="auto"/>
            <w:right w:val="none" w:sz="0" w:space="0" w:color="auto"/>
          </w:divBdr>
        </w:div>
        <w:div w:id="2095860074">
          <w:marLeft w:val="1166"/>
          <w:marRight w:val="0"/>
          <w:marTop w:val="0"/>
          <w:marBottom w:val="280"/>
          <w:divBdr>
            <w:top w:val="none" w:sz="0" w:space="0" w:color="auto"/>
            <w:left w:val="none" w:sz="0" w:space="0" w:color="auto"/>
            <w:bottom w:val="none" w:sz="0" w:space="0" w:color="auto"/>
            <w:right w:val="none" w:sz="0" w:space="0" w:color="auto"/>
          </w:divBdr>
        </w:div>
      </w:divsChild>
    </w:div>
    <w:div w:id="1984499888">
      <w:bodyDiv w:val="1"/>
      <w:marLeft w:val="0"/>
      <w:marRight w:val="0"/>
      <w:marTop w:val="0"/>
      <w:marBottom w:val="0"/>
      <w:divBdr>
        <w:top w:val="none" w:sz="0" w:space="0" w:color="auto"/>
        <w:left w:val="none" w:sz="0" w:space="0" w:color="auto"/>
        <w:bottom w:val="none" w:sz="0" w:space="0" w:color="auto"/>
        <w:right w:val="none" w:sz="0" w:space="0" w:color="auto"/>
      </w:divBdr>
      <w:divsChild>
        <w:div w:id="525099949">
          <w:marLeft w:val="547"/>
          <w:marRight w:val="0"/>
          <w:marTop w:val="115"/>
          <w:marBottom w:val="360"/>
          <w:divBdr>
            <w:top w:val="none" w:sz="0" w:space="0" w:color="auto"/>
            <w:left w:val="none" w:sz="0" w:space="0" w:color="auto"/>
            <w:bottom w:val="none" w:sz="0" w:space="0" w:color="auto"/>
            <w:right w:val="none" w:sz="0" w:space="0" w:color="auto"/>
          </w:divBdr>
        </w:div>
        <w:div w:id="834343322">
          <w:marLeft w:val="547"/>
          <w:marRight w:val="0"/>
          <w:marTop w:val="115"/>
          <w:marBottom w:val="360"/>
          <w:divBdr>
            <w:top w:val="none" w:sz="0" w:space="0" w:color="auto"/>
            <w:left w:val="none" w:sz="0" w:space="0" w:color="auto"/>
            <w:bottom w:val="none" w:sz="0" w:space="0" w:color="auto"/>
            <w:right w:val="none" w:sz="0" w:space="0" w:color="auto"/>
          </w:divBdr>
        </w:div>
        <w:div w:id="2116897490">
          <w:marLeft w:val="547"/>
          <w:marRight w:val="0"/>
          <w:marTop w:val="115"/>
          <w:marBottom w:val="360"/>
          <w:divBdr>
            <w:top w:val="none" w:sz="0" w:space="0" w:color="auto"/>
            <w:left w:val="none" w:sz="0" w:space="0" w:color="auto"/>
            <w:bottom w:val="none" w:sz="0" w:space="0" w:color="auto"/>
            <w:right w:val="none" w:sz="0" w:space="0" w:color="auto"/>
          </w:divBdr>
        </w:div>
        <w:div w:id="1675306297">
          <w:marLeft w:val="547"/>
          <w:marRight w:val="0"/>
          <w:marTop w:val="115"/>
          <w:marBottom w:val="360"/>
          <w:divBdr>
            <w:top w:val="none" w:sz="0" w:space="0" w:color="auto"/>
            <w:left w:val="none" w:sz="0" w:space="0" w:color="auto"/>
            <w:bottom w:val="none" w:sz="0" w:space="0" w:color="auto"/>
            <w:right w:val="none" w:sz="0" w:space="0" w:color="auto"/>
          </w:divBdr>
        </w:div>
        <w:div w:id="56325852">
          <w:marLeft w:val="547"/>
          <w:marRight w:val="0"/>
          <w:marTop w:val="115"/>
          <w:marBottom w:val="360"/>
          <w:divBdr>
            <w:top w:val="none" w:sz="0" w:space="0" w:color="auto"/>
            <w:left w:val="none" w:sz="0" w:space="0" w:color="auto"/>
            <w:bottom w:val="none" w:sz="0" w:space="0" w:color="auto"/>
            <w:right w:val="none" w:sz="0" w:space="0" w:color="auto"/>
          </w:divBdr>
        </w:div>
        <w:div w:id="2126381770">
          <w:marLeft w:val="547"/>
          <w:marRight w:val="0"/>
          <w:marTop w:val="115"/>
          <w:marBottom w:val="360"/>
          <w:divBdr>
            <w:top w:val="none" w:sz="0" w:space="0" w:color="auto"/>
            <w:left w:val="none" w:sz="0" w:space="0" w:color="auto"/>
            <w:bottom w:val="none" w:sz="0" w:space="0" w:color="auto"/>
            <w:right w:val="none" w:sz="0" w:space="0" w:color="auto"/>
          </w:divBdr>
        </w:div>
        <w:div w:id="1301881534">
          <w:marLeft w:val="547"/>
          <w:marRight w:val="0"/>
          <w:marTop w:val="115"/>
          <w:marBottom w:val="360"/>
          <w:divBdr>
            <w:top w:val="none" w:sz="0" w:space="0" w:color="auto"/>
            <w:left w:val="none" w:sz="0" w:space="0" w:color="auto"/>
            <w:bottom w:val="none" w:sz="0" w:space="0" w:color="auto"/>
            <w:right w:val="none" w:sz="0" w:space="0" w:color="auto"/>
          </w:divBdr>
        </w:div>
      </w:divsChild>
    </w:div>
    <w:div w:id="1986347444">
      <w:bodyDiv w:val="1"/>
      <w:marLeft w:val="0"/>
      <w:marRight w:val="0"/>
      <w:marTop w:val="0"/>
      <w:marBottom w:val="0"/>
      <w:divBdr>
        <w:top w:val="none" w:sz="0" w:space="0" w:color="auto"/>
        <w:left w:val="none" w:sz="0" w:space="0" w:color="auto"/>
        <w:bottom w:val="none" w:sz="0" w:space="0" w:color="auto"/>
        <w:right w:val="none" w:sz="0" w:space="0" w:color="auto"/>
      </w:divBdr>
      <w:divsChild>
        <w:div w:id="2083137574">
          <w:marLeft w:val="547"/>
          <w:marRight w:val="0"/>
          <w:marTop w:val="0"/>
          <w:marBottom w:val="240"/>
          <w:divBdr>
            <w:top w:val="none" w:sz="0" w:space="0" w:color="auto"/>
            <w:left w:val="none" w:sz="0" w:space="0" w:color="auto"/>
            <w:bottom w:val="none" w:sz="0" w:space="0" w:color="auto"/>
            <w:right w:val="none" w:sz="0" w:space="0" w:color="auto"/>
          </w:divBdr>
        </w:div>
        <w:div w:id="1914774971">
          <w:marLeft w:val="547"/>
          <w:marRight w:val="0"/>
          <w:marTop w:val="0"/>
          <w:marBottom w:val="240"/>
          <w:divBdr>
            <w:top w:val="none" w:sz="0" w:space="0" w:color="auto"/>
            <w:left w:val="none" w:sz="0" w:space="0" w:color="auto"/>
            <w:bottom w:val="none" w:sz="0" w:space="0" w:color="auto"/>
            <w:right w:val="none" w:sz="0" w:space="0" w:color="auto"/>
          </w:divBdr>
        </w:div>
        <w:div w:id="813984839">
          <w:marLeft w:val="1166"/>
          <w:marRight w:val="0"/>
          <w:marTop w:val="0"/>
          <w:marBottom w:val="240"/>
          <w:divBdr>
            <w:top w:val="none" w:sz="0" w:space="0" w:color="auto"/>
            <w:left w:val="none" w:sz="0" w:space="0" w:color="auto"/>
            <w:bottom w:val="none" w:sz="0" w:space="0" w:color="auto"/>
            <w:right w:val="none" w:sz="0" w:space="0" w:color="auto"/>
          </w:divBdr>
        </w:div>
        <w:div w:id="2097827150">
          <w:marLeft w:val="1166"/>
          <w:marRight w:val="0"/>
          <w:marTop w:val="0"/>
          <w:marBottom w:val="240"/>
          <w:divBdr>
            <w:top w:val="none" w:sz="0" w:space="0" w:color="auto"/>
            <w:left w:val="none" w:sz="0" w:space="0" w:color="auto"/>
            <w:bottom w:val="none" w:sz="0" w:space="0" w:color="auto"/>
            <w:right w:val="none" w:sz="0" w:space="0" w:color="auto"/>
          </w:divBdr>
        </w:div>
        <w:div w:id="253243696">
          <w:marLeft w:val="1166"/>
          <w:marRight w:val="0"/>
          <w:marTop w:val="0"/>
          <w:marBottom w:val="240"/>
          <w:divBdr>
            <w:top w:val="none" w:sz="0" w:space="0" w:color="auto"/>
            <w:left w:val="none" w:sz="0" w:space="0" w:color="auto"/>
            <w:bottom w:val="none" w:sz="0" w:space="0" w:color="auto"/>
            <w:right w:val="none" w:sz="0" w:space="0" w:color="auto"/>
          </w:divBdr>
        </w:div>
        <w:div w:id="1258170450">
          <w:marLeft w:val="1166"/>
          <w:marRight w:val="0"/>
          <w:marTop w:val="0"/>
          <w:marBottom w:val="240"/>
          <w:divBdr>
            <w:top w:val="none" w:sz="0" w:space="0" w:color="auto"/>
            <w:left w:val="none" w:sz="0" w:space="0" w:color="auto"/>
            <w:bottom w:val="none" w:sz="0" w:space="0" w:color="auto"/>
            <w:right w:val="none" w:sz="0" w:space="0" w:color="auto"/>
          </w:divBdr>
        </w:div>
        <w:div w:id="1593125562">
          <w:marLeft w:val="1166"/>
          <w:marRight w:val="0"/>
          <w:marTop w:val="0"/>
          <w:marBottom w:val="240"/>
          <w:divBdr>
            <w:top w:val="none" w:sz="0" w:space="0" w:color="auto"/>
            <w:left w:val="none" w:sz="0" w:space="0" w:color="auto"/>
            <w:bottom w:val="none" w:sz="0" w:space="0" w:color="auto"/>
            <w:right w:val="none" w:sz="0" w:space="0" w:color="auto"/>
          </w:divBdr>
        </w:div>
        <w:div w:id="906765274">
          <w:marLeft w:val="547"/>
          <w:marRight w:val="0"/>
          <w:marTop w:val="0"/>
          <w:marBottom w:val="240"/>
          <w:divBdr>
            <w:top w:val="none" w:sz="0" w:space="0" w:color="auto"/>
            <w:left w:val="none" w:sz="0" w:space="0" w:color="auto"/>
            <w:bottom w:val="none" w:sz="0" w:space="0" w:color="auto"/>
            <w:right w:val="none" w:sz="0" w:space="0" w:color="auto"/>
          </w:divBdr>
        </w:div>
      </w:divsChild>
    </w:div>
    <w:div w:id="2133553765">
      <w:bodyDiv w:val="1"/>
      <w:marLeft w:val="0"/>
      <w:marRight w:val="0"/>
      <w:marTop w:val="0"/>
      <w:marBottom w:val="0"/>
      <w:divBdr>
        <w:top w:val="none" w:sz="0" w:space="0" w:color="auto"/>
        <w:left w:val="none" w:sz="0" w:space="0" w:color="auto"/>
        <w:bottom w:val="none" w:sz="0" w:space="0" w:color="auto"/>
        <w:right w:val="none" w:sz="0" w:space="0" w:color="auto"/>
      </w:divBdr>
      <w:divsChild>
        <w:div w:id="1971394666">
          <w:marLeft w:val="547"/>
          <w:marRight w:val="0"/>
          <w:marTop w:val="0"/>
          <w:marBottom w:val="240"/>
          <w:divBdr>
            <w:top w:val="none" w:sz="0" w:space="0" w:color="auto"/>
            <w:left w:val="none" w:sz="0" w:space="0" w:color="auto"/>
            <w:bottom w:val="none" w:sz="0" w:space="0" w:color="auto"/>
            <w:right w:val="none" w:sz="0" w:space="0" w:color="auto"/>
          </w:divBdr>
        </w:div>
        <w:div w:id="542443649">
          <w:marLeft w:val="1166"/>
          <w:marRight w:val="0"/>
          <w:marTop w:val="0"/>
          <w:marBottom w:val="240"/>
          <w:divBdr>
            <w:top w:val="none" w:sz="0" w:space="0" w:color="auto"/>
            <w:left w:val="none" w:sz="0" w:space="0" w:color="auto"/>
            <w:bottom w:val="none" w:sz="0" w:space="0" w:color="auto"/>
            <w:right w:val="none" w:sz="0" w:space="0" w:color="auto"/>
          </w:divBdr>
        </w:div>
        <w:div w:id="1387875598">
          <w:marLeft w:val="1166"/>
          <w:marRight w:val="0"/>
          <w:marTop w:val="0"/>
          <w:marBottom w:val="240"/>
          <w:divBdr>
            <w:top w:val="none" w:sz="0" w:space="0" w:color="auto"/>
            <w:left w:val="none" w:sz="0" w:space="0" w:color="auto"/>
            <w:bottom w:val="none" w:sz="0" w:space="0" w:color="auto"/>
            <w:right w:val="none" w:sz="0" w:space="0" w:color="auto"/>
          </w:divBdr>
        </w:div>
        <w:div w:id="1848247746">
          <w:marLeft w:val="1166"/>
          <w:marRight w:val="0"/>
          <w:marTop w:val="0"/>
          <w:marBottom w:val="240"/>
          <w:divBdr>
            <w:top w:val="none" w:sz="0" w:space="0" w:color="auto"/>
            <w:left w:val="none" w:sz="0" w:space="0" w:color="auto"/>
            <w:bottom w:val="none" w:sz="0" w:space="0" w:color="auto"/>
            <w:right w:val="none" w:sz="0" w:space="0" w:color="auto"/>
          </w:divBdr>
        </w:div>
        <w:div w:id="1937713074">
          <w:marLeft w:val="1800"/>
          <w:marRight w:val="0"/>
          <w:marTop w:val="0"/>
          <w:marBottom w:val="240"/>
          <w:divBdr>
            <w:top w:val="none" w:sz="0" w:space="0" w:color="auto"/>
            <w:left w:val="none" w:sz="0" w:space="0" w:color="auto"/>
            <w:bottom w:val="none" w:sz="0" w:space="0" w:color="auto"/>
            <w:right w:val="none" w:sz="0" w:space="0" w:color="auto"/>
          </w:divBdr>
        </w:div>
        <w:div w:id="1861553214">
          <w:marLeft w:val="2520"/>
          <w:marRight w:val="0"/>
          <w:marTop w:val="0"/>
          <w:marBottom w:val="240"/>
          <w:divBdr>
            <w:top w:val="none" w:sz="0" w:space="0" w:color="auto"/>
            <w:left w:val="none" w:sz="0" w:space="0" w:color="auto"/>
            <w:bottom w:val="none" w:sz="0" w:space="0" w:color="auto"/>
            <w:right w:val="none" w:sz="0" w:space="0" w:color="auto"/>
          </w:divBdr>
        </w:div>
        <w:div w:id="1571887803">
          <w:marLeft w:val="547"/>
          <w:marRight w:val="0"/>
          <w:marTop w:val="0"/>
          <w:marBottom w:val="240"/>
          <w:divBdr>
            <w:top w:val="none" w:sz="0" w:space="0" w:color="auto"/>
            <w:left w:val="none" w:sz="0" w:space="0" w:color="auto"/>
            <w:bottom w:val="none" w:sz="0" w:space="0" w:color="auto"/>
            <w:right w:val="none" w:sz="0" w:space="0" w:color="auto"/>
          </w:divBdr>
        </w:div>
        <w:div w:id="1008824795">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kburchill@calhospital.org" TargetMode="External"/><Relationship Id="rId2" Type="http://schemas.openxmlformats.org/officeDocument/2006/relationships/customXml" Target="../customXml/item2.xml"/><Relationship Id="rId16" Type="http://schemas.openxmlformats.org/officeDocument/2006/relationships/hyperlink" Target="mailto:akeefe@calhospital.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8E86BDEF8B7458BBBCDAA860D1581" ma:contentTypeVersion="0" ma:contentTypeDescription="Create a new document." ma:contentTypeScope="" ma:versionID="9fa284034954b8d2686beafdaa1a1b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2.xml><?xml version="1.0" encoding="utf-8"?>
<ds:datastoreItem xmlns:ds="http://schemas.openxmlformats.org/officeDocument/2006/customXml" ds:itemID="{3F820AAE-1863-47C3-A6C5-AF92855FC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4.xml><?xml version="1.0" encoding="utf-8"?>
<ds:datastoreItem xmlns:ds="http://schemas.openxmlformats.org/officeDocument/2006/customXml" ds:itemID="{F061809F-261A-4E46-A010-85D30406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F73589-4EB1-4390-9EF7-2EA9BA85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19634</CharactersWithSpaces>
  <SharedDoc>false</SharedDoc>
  <HLinks>
    <vt:vector size="12" baseType="variant">
      <vt:variant>
        <vt:i4>65594</vt:i4>
      </vt:variant>
      <vt:variant>
        <vt:i4>3</vt:i4>
      </vt:variant>
      <vt:variant>
        <vt:i4>0</vt:i4>
      </vt:variant>
      <vt:variant>
        <vt:i4>5</vt:i4>
      </vt:variant>
      <vt:variant>
        <vt:lpwstr>mailto:aorourke@calhospital.org</vt:lpwstr>
      </vt:variant>
      <vt:variant>
        <vt:lpwstr/>
      </vt:variant>
      <vt:variant>
        <vt:i4>5767176</vt:i4>
      </vt:variant>
      <vt:variant>
        <vt:i4>0</vt:i4>
      </vt:variant>
      <vt:variant>
        <vt:i4>0</vt:i4>
      </vt:variant>
      <vt:variant>
        <vt:i4>5</vt:i4>
      </vt:variant>
      <vt:variant>
        <vt:lpwstr>http://docs.house.gov/billsthisweek/20140324/BILLS-113hrSGRv2-SUS.pdf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dvicari</dc:creator>
  <cp:lastModifiedBy>Nicole Hoffman</cp:lastModifiedBy>
  <cp:revision>2</cp:revision>
  <cp:lastPrinted>2019-06-11T19:10:00Z</cp:lastPrinted>
  <dcterms:created xsi:type="dcterms:W3CDTF">2019-06-11T19:33:00Z</dcterms:created>
  <dcterms:modified xsi:type="dcterms:W3CDTF">2019-06-11T19:33:00Z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